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D9379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2" w:lineRule="exact"/>
        <w:ind w:left="1320" w:right="0" w:rightChars="0" w:hanging="1320" w:hangingChars="300"/>
        <w:outlineLvl w:val="9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伊川县供销合作总社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关于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202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3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—202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年政府债券资金使用情况的说明</w:t>
      </w:r>
    </w:p>
    <w:p w14:paraId="58D9BD6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2" w:lineRule="exact"/>
        <w:ind w:left="0" w:leftChars="0" w:right="0" w:rightChars="0" w:firstLine="640" w:firstLineChars="200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19C677E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2" w:lineRule="exact"/>
        <w:ind w:left="0" w:leftChars="0" w:right="0" w:rightChars="0" w:firstLine="640" w:firstLineChars="200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根据《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河南省财政厅关于做好2024年地方政府债券存续期信息公开工作的通知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》（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豫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财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债管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〔20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〕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号）规定，现对我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部门202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—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亿元政府债券资金使用情况进行公开，具体情况说明如下：</w:t>
      </w:r>
    </w:p>
    <w:p w14:paraId="2B9A20F6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Autospacing="0" w:afterAutospacing="0" w:line="592" w:lineRule="exact"/>
        <w:ind w:left="0" w:leftChars="0" w:right="0" w:rightChars="0" w:firstLine="640" w:firstLineChars="200"/>
        <w:jc w:val="both"/>
        <w:outlineLvl w:val="9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黑体" w:cs="Times New Roman"/>
          <w:sz w:val="32"/>
          <w:szCs w:val="32"/>
          <w:highlight w:val="none"/>
          <w:lang w:eastAsia="zh-CN"/>
        </w:rPr>
        <w:t>一、</w:t>
      </w: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专项债券资金</w:t>
      </w:r>
      <w:r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1亿</w:t>
      </w: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元使用情况</w:t>
      </w:r>
    </w:p>
    <w:p w14:paraId="04872CA5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Autospacing="0" w:afterAutospacing="0" w:line="592" w:lineRule="exact"/>
        <w:ind w:left="0" w:leftChars="0" w:right="0" w:rightChars="0" w:firstLine="640" w:firstLineChars="200"/>
        <w:jc w:val="both"/>
        <w:outlineLvl w:val="9"/>
        <w:rPr>
          <w:rFonts w:hint="default" w:ascii="Times New Roman" w:hAnsi="Times New Roman" w:eastAsia="仿宋_GB2312" w:cs="Times New Roman"/>
          <w:sz w:val="32"/>
          <w:highlight w:val="none"/>
        </w:rPr>
      </w:pPr>
      <w:r>
        <w:rPr>
          <w:rFonts w:hint="eastAsia" w:ascii="Times New Roman" w:hAnsi="Times New Roman" w:eastAsia="仿宋_GB2312" w:cs="Times New Roman"/>
          <w:sz w:val="32"/>
          <w:highlight w:val="none"/>
          <w:lang w:val="en-US" w:eastAsia="zh-CN"/>
        </w:rPr>
        <w:t>1、</w:t>
      </w:r>
      <w:r>
        <w:rPr>
          <w:rFonts w:hint="default" w:ascii="Times New Roman" w:hAnsi="Times New Roman" w:eastAsia="仿宋_GB2312" w:cs="Times New Roman"/>
          <w:sz w:val="3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项目安排情况。安排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1亿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元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用于</w:t>
      </w:r>
      <w:r>
        <w:rPr>
          <w:rFonts w:hint="eastAsia" w:ascii="Times New Roman" w:hAnsi="Times New Roman" w:eastAsia="仿宋_GB2312" w:cs="Times New Roman"/>
          <w:sz w:val="32"/>
          <w:highlight w:val="none"/>
          <w:lang w:eastAsia="zh-CN"/>
        </w:rPr>
        <w:t>伊川县三级供销物流体系平台基础设施建设项目。</w:t>
      </w:r>
      <w:bookmarkStart w:id="0" w:name="_GoBack"/>
      <w:bookmarkEnd w:id="0"/>
    </w:p>
    <w:p w14:paraId="7A21AC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2. 项目进展情况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该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项目位于河南省伊川县(水寨、鸦岭、酒后、高山、平等、鸣皋、葛寨、白元、彭婆、半坡、吕店、江左、白沙、城关)14个乡镇供销合作社网点。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项目规划建设用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地总面积115477.406平方米(约173.21亩)，总建筑面积87130平方米，主要建设内容包括标准仓、冷链仓、土地托管及智能配肥中心、应急物资保障中心、乡村农产品流转中心、快递分拨转运中心，购置仓储物流设备及辅助系统等。</w:t>
      </w:r>
    </w:p>
    <w:p w14:paraId="41D378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3. 资金使用情况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年发行的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1亿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元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专项债券资金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经县里协调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已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拨付委托代建单位伊川财源实业投资有限责任公司5290万元，剩余专项债券资金4710万元未支出，结余在财政。</w:t>
      </w:r>
    </w:p>
    <w:p w14:paraId="4483D0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highlight w:val="none"/>
        </w:rPr>
        <w:t>4. 项目收益及实现情况</w:t>
      </w:r>
      <w:r>
        <w:rPr>
          <w:rFonts w:hint="default" w:ascii="Times New Roman" w:hAnsi="Times New Roman" w:eastAsia="仿宋_GB2312" w:cs="Times New Roman"/>
          <w:sz w:val="32"/>
          <w:highlight w:val="none"/>
          <w:lang w:eastAsia="zh-CN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处于建设期，未投入使用，暂未产生收益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。</w:t>
      </w:r>
    </w:p>
    <w:p w14:paraId="09159F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highlight w:val="none"/>
        </w:rPr>
        <w:t>5. 项目对应资产情况</w:t>
      </w:r>
      <w:r>
        <w:rPr>
          <w:rFonts w:hint="default" w:ascii="Times New Roman" w:hAnsi="Times New Roman" w:eastAsia="仿宋_GB2312" w:cs="Times New Roman"/>
          <w:sz w:val="32"/>
          <w:highlight w:val="none"/>
          <w:lang w:eastAsia="zh-CN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尚未完成建设，属于在建工程。</w:t>
      </w:r>
    </w:p>
    <w:p w14:paraId="210CA608">
      <w:pPr>
        <w:spacing w:line="592" w:lineRule="exact"/>
        <w:ind w:right="1260" w:rightChars="600"/>
        <w:jc w:val="both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1AE1EF7C">
      <w:pPr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spacing w:line="592" w:lineRule="exact"/>
        <w:ind w:right="0" w:rightChars="0"/>
        <w:outlineLvl w:val="9"/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/>
        </w:rPr>
      </w:pPr>
    </w:p>
    <w:p w14:paraId="2BAD967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2" w:lineRule="exact"/>
        <w:ind w:left="0" w:leftChars="0" w:right="0" w:rightChars="0" w:firstLine="640" w:firstLineChars="200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153C788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5BF7042"/>
    <w:rsid w:val="63F40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ascii="Calibri" w:hAnsi="Calibri" w:eastAsia="宋体"/>
      <w:kern w:val="0"/>
      <w:sz w:val="24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16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2025-05-20T08:14:38Z</dcterms:created>
  <dc:creator>Administrator</dc:creator>
  <cp:lastModifiedBy> 飞飞 </cp:lastModifiedBy>
  <dcterms:modified xsi:type="dcterms:W3CDTF">2025-05-20T09:10:05Z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eyJoZGlkIjoiMDQwNmViZWIzOTY3NTIyMmQ4MDQxMGE1NmIzM2Y2Y2UiLCJ1c2VySWQiOiIzNjYxOTYwMzIifQ==</vt:lpwstr>
  </property>
  <property fmtid="{D5CDD505-2E9C-101B-9397-08002B2CF9AE}" pid="4" name="ICV">
    <vt:lpwstr>07F2E053A90E471D8C0C8D37931B3869_12</vt:lpwstr>
  </property>
</Properties>
</file>