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808ED2">
      <w:pPr>
        <w:pStyle w:val="11"/>
        <w:keepNext w:val="0"/>
        <w:keepLines w:val="0"/>
        <w:pageBreakBefore w:val="0"/>
        <w:widowControl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河南省伊川县工商业联合会</w:t>
      </w:r>
    </w:p>
    <w:p w14:paraId="2BB853EA">
      <w:pPr>
        <w:pStyle w:val="11"/>
        <w:keepNext w:val="0"/>
        <w:keepLines w:val="0"/>
        <w:pageBreakBefore w:val="0"/>
        <w:widowControl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“格局屏天下伊川企业家学院培训经费”</w:t>
      </w:r>
      <w:bookmarkStart w:id="0" w:name="_Toc25874_WPSOffice_Level1"/>
      <w:bookmarkStart w:id="1" w:name="_Toc6751_WPSOffice_Level1"/>
      <w:bookmarkStart w:id="2" w:name="_Toc26093_WPSOffice_Level1"/>
      <w:bookmarkStart w:id="3" w:name="_Toc4943_WPSOffice_Level1"/>
      <w:bookmarkStart w:id="4" w:name="_Toc23664_WPSOffice_Level1"/>
      <w:bookmarkStart w:id="5" w:name="_Toc26965"/>
      <w:bookmarkStart w:id="6" w:name="_Toc17485_WPSOffice_Level1"/>
      <w:bookmarkStart w:id="7" w:name="_Toc18854_WPSOffice_Level1"/>
      <w:bookmarkStart w:id="8" w:name="_Toc8422_WPSOffice_Level1"/>
      <w:bookmarkStart w:id="9" w:name="_Toc30388_WPSOffice_Level1"/>
    </w:p>
    <w:p w14:paraId="6FBDA0A9">
      <w:pPr>
        <w:pStyle w:val="11"/>
        <w:keepNext w:val="0"/>
        <w:keepLines w:val="0"/>
        <w:pageBreakBefore w:val="0"/>
        <w:widowControl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sz w:val="44"/>
          <w:szCs w:val="44"/>
          <w:highlight w:val="none"/>
          <w:lang w:eastAsia="zh-CN"/>
        </w:rPr>
        <w:t>绩效评价报告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p>
    <w:p w14:paraId="4D5D13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 w:bidi="ar-SA"/>
        </w:rPr>
      </w:pPr>
    </w:p>
    <w:p w14:paraId="6405BBF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项目基本情况</w:t>
      </w:r>
    </w:p>
    <w:p w14:paraId="0A6EA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2020年伊川县委统战部、工商联与北大盛世格局屏天下河南分院合作开办伊川格局大讲堂。伊川县工商联成立“格局屏天下伊川县企业学院”。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格局屏天下伊川企业家学院培训经费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实施单位为河南省伊川县工商业联合会。项目主要建设内容：</w:t>
      </w:r>
      <w:bookmarkStart w:id="10" w:name="_Hlk132383160"/>
      <w:bookmarkStart w:id="11" w:name="_Hlk16615744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每年开办企业家学院10场次的《思想的格局》、20天次的《经营新格局》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  <w:bookmarkEnd w:id="10"/>
      <w:bookmarkEnd w:id="11"/>
    </w:p>
    <w:p w14:paraId="6260DB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格局屏天下伊川企业家学院培训经费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2023年预算经费为39.92万元。该项目自2020年10月实施，因企业家学院课程设置内容与伊川县民营企业家实际需求差距较大，企业家参与程度不理想，实施效果不佳，仅实施一年，2021年10月-2023年企业家学院已暂停开展此项目。2023年此项目未实施。</w:t>
      </w:r>
    </w:p>
    <w:p w14:paraId="22AC7E1D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color w:val="auto"/>
          <w:kern w:val="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</w:rPr>
        <w:t>存在问题及建议</w:t>
      </w:r>
    </w:p>
    <w:p w14:paraId="275948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因项目未实施，资金未拨付。该笔财政预算指标闲置。现建议核减下年度项目预算，收回并统筹安排。以后年度，如有培训需求，从县级培训经费列支。</w:t>
      </w:r>
    </w:p>
    <w:p w14:paraId="34C79DF2">
      <w:pPr>
        <w:pStyle w:val="11"/>
        <w:keepNext w:val="0"/>
        <w:keepLines w:val="0"/>
        <w:pageBreakBefore w:val="0"/>
        <w:widowControl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bookmarkStart w:id="12" w:name="_Hlk166144024"/>
      <w:r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伊川县技工学校技校教育项目</w:t>
      </w:r>
      <w:bookmarkEnd w:id="12"/>
    </w:p>
    <w:p w14:paraId="3D3D5318">
      <w:pPr>
        <w:pStyle w:val="11"/>
        <w:keepNext w:val="0"/>
        <w:keepLines w:val="0"/>
        <w:pageBreakBefore w:val="0"/>
        <w:widowControl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绩效评价报告</w:t>
      </w:r>
    </w:p>
    <w:p w14:paraId="51A8E6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 w:bidi="ar-SA"/>
        </w:rPr>
      </w:pPr>
    </w:p>
    <w:p w14:paraId="78ADE880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/>
        </w:rPr>
        <w:t>项目基本情况</w:t>
      </w:r>
    </w:p>
    <w:p w14:paraId="365439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伊川县技工学校技校教育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项目管理机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构为</w:t>
      </w:r>
      <w:bookmarkStart w:id="13" w:name="_Hlk132291937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河南省洛阳市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伊川县人力资源和社会保障局，</w:t>
      </w:r>
      <w:bookmarkEnd w:id="13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实施单位为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伊川县技工学校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。项目主要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内容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：</w:t>
      </w:r>
      <w:bookmarkStart w:id="14" w:name="_Hlk166153393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学校日常开支及保障运转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bookmarkEnd w:id="14"/>
    <w:p w14:paraId="5F07C2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伊川县技工学校技校教育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为学校的工作经费，用于日常开支及保障运转，内容为工作人员工资24万、日常办公费8万、电费8万、水费2万、宣传印刷费3万，总合计45万元。</w:t>
      </w:r>
    </w:p>
    <w:p w14:paraId="669A05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bookmarkStart w:id="15" w:name="_Hlk132379626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2023年预算资金45.00万元，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拨付资金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45.00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万元，支付资金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45.00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万元。</w:t>
      </w:r>
      <w:bookmarkEnd w:id="15"/>
    </w:p>
    <w:p w14:paraId="7F2B457C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</w:rPr>
        <w:t>存在问题</w:t>
      </w:r>
    </w:p>
    <w:p w14:paraId="14D566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contextualSpacing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  <w:t>（一）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事前必要的可行性研究、专家论证、风险评估、绩效评估、集体决策资料不完整</w:t>
      </w:r>
    </w:p>
    <w:p w14:paraId="3BC285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该项目为工作经费，伊川县技工学校依据《关于拨付2015年度工作经费的申请》（伊技字[2014]20号）编制2023年预算，未见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申请设立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审批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的早期资料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资料不完整，该项目未落实零基预算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。</w:t>
      </w:r>
    </w:p>
    <w:p w14:paraId="46E485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单位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项目资金分配不合理</w:t>
      </w:r>
    </w:p>
    <w:p w14:paraId="3A2F03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伊川县技工学校与伊川县中等职业学校公用一个校区，2023年账面未发生水费支出，与水费预算资金2万元差异较大，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项目资金分配不合理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。</w:t>
      </w:r>
    </w:p>
    <w:p w14:paraId="3DA6A1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）项目经费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未单独核算，与项目无关的支出挤占经费，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支付款项不及时</w:t>
      </w:r>
    </w:p>
    <w:p w14:paraId="1AA462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经查看单位相关资料，评价项目经费与单位其他经费未分开核算，无法完整归集。与项目无关的支出挤占经费</w:t>
      </w:r>
    </w:p>
    <w:p w14:paraId="37C56C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（四）绩效指标设置不合理</w:t>
      </w:r>
    </w:p>
    <w:p w14:paraId="32B836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该项目为学校工作经费，效益指标中“经济效益指标为办公经费≥45万/年”，经费类支出无法带来经济效益，指标设置不合理。</w:t>
      </w:r>
    </w:p>
    <w:p w14:paraId="4BA700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200" w:firstLine="320" w:firstLineChars="1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三、有关建议</w:t>
      </w:r>
    </w:p>
    <w:p w14:paraId="19B6C8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（一）严格按照预算编制，合理分配项目资金</w:t>
      </w:r>
    </w:p>
    <w:p w14:paraId="7A5DDC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预算编制应依据充分、内容完整、数据真实、绩效显著，要加强“零基预算”理念贯穿预算编制的全过程，人员经费据实全额保障，运转经费实行分类分档管理，建立全面规范透明、标准科学、约束有力的预算制度，提高预算编制的科学，提升预算执行的刚性。</w:t>
      </w:r>
    </w:p>
    <w:p w14:paraId="0DFC4A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（二）绩效指标应结合目标设置明细</w:t>
      </w:r>
    </w:p>
    <w:p w14:paraId="7E123B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绩效指标应结合绩效目标进行明细设置，通过清晰、可衡量的指标值予以体现。</w:t>
      </w:r>
    </w:p>
    <w:p w14:paraId="456261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（三）项目资金单独核算</w:t>
      </w:r>
    </w:p>
    <w:p w14:paraId="1ACFE7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项目经费应与单位经费分开进行单独核算，保障项目资金安全、高效运行、充分发挥资金使用效益。</w:t>
      </w:r>
    </w:p>
    <w:p w14:paraId="7D89CF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536A4A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 w:bidi="ar-SA"/>
        </w:rPr>
      </w:pPr>
    </w:p>
    <w:p w14:paraId="3028A1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29E33F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151E56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370637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061544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7DF23A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05EA00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4C8BAA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76BF13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5B1D84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030BA6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jc w:val="both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</w:pPr>
    </w:p>
    <w:p w14:paraId="7D113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jc w:val="both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</w:pPr>
    </w:p>
    <w:p w14:paraId="249CC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jc w:val="both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</w:pPr>
    </w:p>
    <w:p w14:paraId="533DD9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jc w:val="both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</w:pPr>
    </w:p>
    <w:p w14:paraId="2A0646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jc w:val="both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</w:pPr>
    </w:p>
    <w:p w14:paraId="705400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jc w:val="both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</w:pPr>
    </w:p>
    <w:p w14:paraId="3BAF5A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jc w:val="both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</w:pPr>
    </w:p>
    <w:p w14:paraId="3D7F0E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440" w:firstLineChars="100"/>
        <w:jc w:val="both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  <w:t>伊川县民政局2023年居家和社区养老服务</w:t>
      </w:r>
    </w:p>
    <w:p w14:paraId="259837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  <w:t>补贴项目绩效评价报告</w:t>
      </w:r>
    </w:p>
    <w:p w14:paraId="72D4BD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 w:bidi="ar-SA"/>
        </w:rPr>
      </w:pPr>
    </w:p>
    <w:p w14:paraId="1E7B358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项目基本情况</w:t>
      </w:r>
    </w:p>
    <w:p w14:paraId="59ED88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2023年居家和社区养老服务补贴项目的主管部门为伊川县民政局，伊川县居家养老服务中心为建设运营管理单位，2023年具体服务点为乐养居罗村社区智慧养老服务中心、伊川县书院路片区乐养居养老服务中心、窑湾社区养老服务中心、伊川县居家养老服务中心。项目主要补贴内容：“水电暖和服务耗材等日常费用，根据民政部门、办事出资方委托协议中提供的服务用房面积，按每月每平方米10.00元标准给予运行补贴”。</w:t>
      </w:r>
    </w:p>
    <w:p w14:paraId="074E97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伊川县居家养老服务中心承担伊川县12349养老服务信息平台的建设、业务推广、运营管理工作，12349平台每年服务费50,000.00元。</w:t>
      </w:r>
    </w:p>
    <w:p w14:paraId="62988F11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</w:rPr>
        <w:t>存在问题</w:t>
      </w:r>
    </w:p>
    <w:p w14:paraId="10D721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（一）主管单位未落实质量监控</w:t>
      </w:r>
    </w:p>
    <w:p w14:paraId="7ACF32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主管单位应进行质量监控，提供面积认定记录、居家和社区养老服务行业的监管和指导资料，开展行业星级评定创建活动等资料。截至目前，主管单位未提供质量监控有关资料。</w:t>
      </w:r>
    </w:p>
    <w:p w14:paraId="29E442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（二）档案资料不齐全并未及时归档</w:t>
      </w:r>
    </w:p>
    <w:p w14:paraId="21905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绩效评价组成员在查阅相关资料时发现，尚未提供项目初期项目立项资料、绩效评估、集体决策等资料，缺少2023年居家和社区养老服务项目缺少补贴面积认定记录。</w:t>
      </w:r>
    </w:p>
    <w:p w14:paraId="5FE871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bookmarkStart w:id="16" w:name="_Toc11003"/>
      <w:bookmarkStart w:id="17" w:name="_Toc18672626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三、有关建议</w:t>
      </w:r>
      <w:bookmarkEnd w:id="16"/>
      <w:bookmarkEnd w:id="17"/>
    </w:p>
    <w:p w14:paraId="6C2130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（一）科学衡量预算金额</w:t>
      </w:r>
    </w:p>
    <w:p w14:paraId="019424E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建议项目单位严格落实预算制度，科学衡量计算项目预算金额，主管单位对项目之间的预算金额予以科学论证，保持项目的资金预算科学性。</w:t>
      </w:r>
    </w:p>
    <w:p w14:paraId="7AE8EF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（二）严格落实业务管理制度</w:t>
      </w:r>
    </w:p>
    <w:p w14:paraId="0647D5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建议项目单位建立监督机制，注重责任考核，明确职责分工，确保项目的高质高效的运行。</w:t>
      </w:r>
    </w:p>
    <w:p w14:paraId="71F9FA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（三）严格落实档案管理制度</w:t>
      </w:r>
    </w:p>
    <w:p w14:paraId="5FF1ED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建议项目单位严格落实单位的工作档案管理制度，保存项目档案。</w:t>
      </w:r>
    </w:p>
    <w:p w14:paraId="7C1AD0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649652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17724B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79C53A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</w:pPr>
    </w:p>
    <w:p w14:paraId="53FD08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</w:pPr>
    </w:p>
    <w:p w14:paraId="0C5684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</w:pPr>
    </w:p>
    <w:p w14:paraId="5650C5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</w:pPr>
    </w:p>
    <w:p w14:paraId="1035B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</w:pPr>
    </w:p>
    <w:p w14:paraId="649692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</w:pPr>
    </w:p>
    <w:p w14:paraId="101064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/>
        </w:rPr>
        <w:t xml:space="preserve"> 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  <w:t>伊川县民政局2023年养老机构床位补贴项目</w:t>
      </w:r>
    </w:p>
    <w:p w14:paraId="651E09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  <w:t>绩效评价报告</w:t>
      </w:r>
    </w:p>
    <w:p w14:paraId="074C85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 w:bidi="ar-SA"/>
        </w:rPr>
      </w:pPr>
    </w:p>
    <w:p w14:paraId="3070791A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项目基本情况</w:t>
      </w:r>
    </w:p>
    <w:p w14:paraId="45A8D3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2023年养老机构床位补贴项目的主管部门为伊川县民政局，养老服务机构为凤山老年公寓、仁德养老公寓、康寿老年公寓。项目主要内容：根据《洛阳市人民政府关于加快发展养老服务业的意见》（洛政〔2014〕51号）显示“自2014年1月1日起，城市区依法设立许可的非营利性社会办养老服务机构，经主管部门对其日常服务内容、服务质量、服务对象满意度等进行考核符合标准的，按照入住老年人数（必须入住满1个月），给予每人每月150.00元的运营补贴（外埠住养老人与我市户籍老人享受同等待遇）。</w:t>
      </w:r>
    </w:p>
    <w:p w14:paraId="0CDA9BAD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color w:val="auto"/>
          <w:kern w:val="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</w:rPr>
        <w:t>存在问题</w:t>
      </w:r>
    </w:p>
    <w:p w14:paraId="513636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contextualSpacing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  <w:t>（一）项目主管单位未提供日常管理资料</w:t>
      </w:r>
    </w:p>
    <w:p w14:paraId="644AA8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项目主管单位未提供对养老服务机构的日常服务内容、服务质量、服务对象满意度的日常考核资料及监管资料。</w:t>
      </w:r>
    </w:p>
    <w:p w14:paraId="6712AB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contextualSpacing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  <w:t>档案资料不齐全并未及时归档</w:t>
      </w:r>
    </w:p>
    <w:p w14:paraId="1F862D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绩效评价组成员在查阅相关资料时发现，缺少项目初期项目立项资料、绩效评估、集体决策等资料，缺少养老机构床位补贴的床位认定批复文件。</w:t>
      </w:r>
    </w:p>
    <w:p w14:paraId="43181238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/>
        </w:rPr>
        <w:t>有关建议</w:t>
      </w:r>
    </w:p>
    <w:p w14:paraId="62804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contextualSpacing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  <w:t>严格落实业务管理</w:t>
      </w:r>
    </w:p>
    <w:p w14:paraId="799225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建议项目单位建立监督机制，注重责任考核，明确职责分工，加强日常监督工作。</w:t>
      </w:r>
    </w:p>
    <w:p w14:paraId="1A294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contextualSpacing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）科学衡量预算金额及服务数量</w:t>
      </w:r>
    </w:p>
    <w:p w14:paraId="24C127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建议项目单位严格落实预算制度，根据往年第三方审计结果，科学计算项目预算金额；建议由养老服务机构申报全年计划服务数量，提交项目主管单位进行审核，以确保项目预算科学性、准确性、提高预算执行率。</w:t>
      </w:r>
    </w:p>
    <w:p w14:paraId="38CDE7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contextualSpacing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）严格落实档案管理制度</w:t>
      </w:r>
    </w:p>
    <w:p w14:paraId="381517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建议项目单位严格落实单位的工作档案管理制度，保存项目档案。</w:t>
      </w:r>
    </w:p>
    <w:p w14:paraId="2AF09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14B640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3ADF64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79DF3F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3C4CE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798FEB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335BA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</w:rPr>
      </w:pPr>
    </w:p>
    <w:p w14:paraId="57255E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  <w:t>伊川县民政局2023年农村幸福院补贴项目</w:t>
      </w:r>
    </w:p>
    <w:p w14:paraId="588D27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  <w:t>绩效评价报告</w:t>
      </w:r>
    </w:p>
    <w:p w14:paraId="6119D5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 w:bidi="ar-SA"/>
        </w:rPr>
      </w:pPr>
    </w:p>
    <w:p w14:paraId="59BFD7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一、项目基本情况</w:t>
      </w:r>
    </w:p>
    <w:p w14:paraId="2E3BC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2023年农村幸福院补贴项目的主管部门为伊川县民政局，服务单位为各村申请农村幸福院。</w:t>
      </w:r>
    </w:p>
    <w:p w14:paraId="7E5AD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项目主要内容：“为规范我县农村老年幸福院运行管理，促进农村养老事业健康发展，实验幸福院入院有程序、管理有组织、运行有制度、发展有保障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从2016年起对幸福院实行‘一星级、二星级、三星级’三个层次等级考核管理，以充分调动幸福院服务农村老年人的积极性，解决老年人的社会养老问题，提升农村老年人的生活质量和幸福指数，促进农村社会和谐稳定”。</w:t>
      </w:r>
    </w:p>
    <w:p w14:paraId="59AEB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幸福院考核由伊川县民政局老龄办公室负责实施。综合得分满分100分，平时考核占70%，年终考核占30%。综合得分85分以上（85分）为三星级老年幸福院，70分至85分之间（含70分）为二星级幸福院，60分至70分（含60分）为一星级幸福院。三星级老年幸福院一次性给予5000元运行经费补贴；二星级老年幸福院一次性给予3000元运行经费补贴；一星级老年幸福院一次性给予1000元运行经费补贴。</w:t>
      </w:r>
    </w:p>
    <w:p w14:paraId="3E983805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</w:rPr>
        <w:t>存在问题</w:t>
      </w:r>
    </w:p>
    <w:p w14:paraId="67C6C6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contextualSpacing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  <w:t>（一）预算项目名称与项目实际名称不符</w:t>
      </w:r>
    </w:p>
    <w:p w14:paraId="15388A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随着国家养老服务政策的不断调整，养老服务设施的名称不断发生变化，2020年以前乡村养老服务设施名称为农村老年幸福院，2021年乡村名称为集中（小型集中）养老服务站和村级居家助老服务点；2022年以后，乡村又称为集中（小型集中）助老服务站和村级居家助老服务点。</w:t>
      </w:r>
    </w:p>
    <w:p w14:paraId="687A3E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contextualSpacing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</w:pPr>
      <w:bookmarkStart w:id="18" w:name="_Hlk188374024"/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  <w:t>档案资料不齐全并未及时归档</w:t>
      </w:r>
      <w:bookmarkEnd w:id="18"/>
    </w:p>
    <w:p w14:paraId="4D8C62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绩效评价组成员在查阅相关资料时发现，缺少项目初期项目立项资料、绩效评估、集体决策等资料，缺少农村老年幸福院前期认定资料，缺少2023年度农村老年幸福院星级管理资料。</w:t>
      </w:r>
    </w:p>
    <w:p w14:paraId="006666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contextualSpacing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  <w:t>农村幸福院存在闲置情况</w:t>
      </w:r>
    </w:p>
    <w:p w14:paraId="6FE02B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经项目评价组人员多次与项目单位沟通，项目单位尚未提供2023年农村幸福院星级管理资料，项目单位未申请2023年农村幸福院项目补贴资金。经绩效评价组人员现场抽查，农村幸福院存在未运行情况。</w:t>
      </w:r>
    </w:p>
    <w:p w14:paraId="27DD11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contextualSpacing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三、有关建议</w:t>
      </w:r>
    </w:p>
    <w:p w14:paraId="0A52E5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contextualSpacing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  <w:t>严格落实项目预算制度</w:t>
      </w:r>
    </w:p>
    <w:p w14:paraId="76CDE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严格落实项目预算制度，以保持项目预算名称与实际项目名称内容相符。</w:t>
      </w:r>
    </w:p>
    <w:p w14:paraId="51F65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contextualSpacing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  <w:t>严格落实业务管理制度</w:t>
      </w:r>
    </w:p>
    <w:p w14:paraId="5DF3A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建议项目单位严格落实业务管理制度，对相关科室进行考核制度，完成项目目标，达到预期项目效益。</w:t>
      </w:r>
    </w:p>
    <w:p w14:paraId="5C89C9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contextualSpacing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（三）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  <w:t>深入调研项目实施环境</w:t>
      </w:r>
    </w:p>
    <w:p w14:paraId="09C78B4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建议项目主管单位，根据地方经济情况，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</w:rPr>
        <w:t>调研，找出闲置原因，避免预算指标闲置，提高财政资金效益，予以提高养老服务质量。</w:t>
      </w:r>
    </w:p>
    <w:p w14:paraId="10511F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contextualSpacing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（四）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  <w:t>严格落实档案管理制度</w:t>
      </w:r>
    </w:p>
    <w:p w14:paraId="69B0DD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建议项目单位严格落实单位的工作档案管理制度，保存项目档案。</w:t>
      </w:r>
    </w:p>
    <w:p w14:paraId="7D0755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080CA8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32B04F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</w:rPr>
      </w:pPr>
    </w:p>
    <w:p w14:paraId="548904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794155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5A5611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7A5DC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29311B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31E4A7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0E4C3E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75C56C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6D65DC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bookmarkStart w:id="23" w:name="_GoBack"/>
      <w:bookmarkEnd w:id="23"/>
    </w:p>
    <w:p w14:paraId="1D7A46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6968D3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  <w:t>伊川县民政局2023年行政区划和地名管理</w:t>
      </w:r>
    </w:p>
    <w:p w14:paraId="0E011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kern w:val="0"/>
          <w:sz w:val="44"/>
          <w:szCs w:val="44"/>
          <w:highlight w:val="none"/>
        </w:rPr>
        <w:t>项目绩效评价报告</w:t>
      </w:r>
    </w:p>
    <w:p w14:paraId="50928C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 w:bidi="ar-SA"/>
        </w:rPr>
      </w:pPr>
    </w:p>
    <w:p w14:paraId="5A0A3A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一、项目基本情况</w:t>
      </w:r>
    </w:p>
    <w:p w14:paraId="68BB22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行政区划和地名管理项目的主管部门为伊川县民政局，实施单位为厦门精图信息技术有限公司、河南浩泽标识标牌有限公司。</w:t>
      </w:r>
    </w:p>
    <w:p w14:paraId="6A457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2016年6月7日，伊川县民政局与厦门精图信息技术有限公司签订服务合同，合同任务为伊川县第二次全国地名普查实施系统7项、伊川县第二次全国地名普查成果转化服务平台系统1项，伊川县行政区划图500副，伊川县地名志300本。</w:t>
      </w:r>
    </w:p>
    <w:p w14:paraId="0A829D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2020年4月23日伊川县民政局与河南浩泽标识标牌有限公司，合同金额1,378,000.00元。</w:t>
      </w:r>
    </w:p>
    <w:p w14:paraId="2E8A2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2021年1月20日伊川县民政局与河南浩泽标识标牌有限公司，合同金额为367,500.00元；</w:t>
      </w:r>
    </w:p>
    <w:p w14:paraId="042054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contextualSpacing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</w:pPr>
      <w:bookmarkStart w:id="19" w:name="_Toc23880"/>
      <w:bookmarkStart w:id="20" w:name="_Toc186726260"/>
      <w:bookmarkStart w:id="21" w:name="_Toc4655_WPSOffice_Level2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存在问题</w:t>
      </w:r>
      <w:bookmarkEnd w:id="19"/>
      <w:bookmarkEnd w:id="20"/>
      <w:bookmarkEnd w:id="21"/>
    </w:p>
    <w:p w14:paraId="601D22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  <w:t>（一）项目预算名称不合理</w:t>
      </w:r>
    </w:p>
    <w:p w14:paraId="78EB78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22" w:name="_Hlk186811937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2023年行政区划和地名管理项目</w:t>
      </w:r>
      <w:bookmarkEnd w:id="22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用于支付2023年度之前第二次全国地名普查服务项目、设置城区主干街道门牌换发项目、设置城区路牌巷牌项目，项目工作2023年度之前已经完成。</w:t>
      </w:r>
    </w:p>
    <w:p w14:paraId="1ECE37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  <w:t>档案资料不齐全并未及时归档</w:t>
      </w:r>
    </w:p>
    <w:p w14:paraId="78C00C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绩效评价组成员在查阅相关资料时发现，缺少项目初期项目立项资料、绩效评估、集体决策等资料，缺少2023年行政区划和地名管理项目的前期立项资料。</w:t>
      </w:r>
    </w:p>
    <w:p w14:paraId="401AF5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contextualSpacing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三、有关建议</w:t>
      </w:r>
    </w:p>
    <w:p w14:paraId="5D61E3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  <w:t>项目单位申请进入本县债务系统</w:t>
      </w:r>
    </w:p>
    <w:p w14:paraId="447566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建议项目单位将尚未拨付资金，申请进入本县债务系统，对无需继续执行的项目不再纳入年度预算内，避免导致指标浪费。</w:t>
      </w:r>
    </w:p>
    <w:p w14:paraId="06AF22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（二）严格落实档案管理制度</w:t>
      </w:r>
    </w:p>
    <w:p w14:paraId="6238C4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建议项目单位严格落实单位的工作档案管理制度，保存项目档案。</w:t>
      </w:r>
    </w:p>
    <w:p w14:paraId="0D096E22">
      <w:pPr>
        <w:pStyle w:val="4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0F3AFB0B"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1EFC7522">
      <w:pPr>
        <w:pStyle w:val="4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23EB5987"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01BC24B1">
      <w:pPr>
        <w:pStyle w:val="4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78E654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after="0" w:line="60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/>
      <w:pgMar w:top="1984" w:right="1587" w:bottom="1701" w:left="1587" w:header="851" w:footer="1417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方正大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7FCD81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7629D7">
                          <w:pPr>
                            <w:pStyle w:val="6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7629D7">
                    <w:pPr>
                      <w:pStyle w:val="6"/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C35423"/>
    <w:multiLevelType w:val="singleLevel"/>
    <w:tmpl w:val="E8C3542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D1574AB"/>
    <w:multiLevelType w:val="singleLevel"/>
    <w:tmpl w:val="ED1574AB"/>
    <w:lvl w:ilvl="0" w:tentative="0">
      <w:start w:val="1"/>
      <w:numFmt w:val="chineseCounting"/>
      <w:suff w:val="nothing"/>
      <w:lvlText w:val="%1、"/>
      <w:lvlJc w:val="left"/>
      <w:rPr>
        <w:rFonts w:hint="eastAsia" w:ascii="黑体" w:hAnsi="黑体" w:eastAsia="黑体" w:cs="黑体"/>
        <w:b w:val="0"/>
        <w:bCs w:val="0"/>
      </w:rPr>
    </w:lvl>
  </w:abstractNum>
  <w:abstractNum w:abstractNumId="2">
    <w:nsid w:val="64949778"/>
    <w:multiLevelType w:val="singleLevel"/>
    <w:tmpl w:val="6494977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B4F07"/>
    <w:rsid w:val="05490DD4"/>
    <w:rsid w:val="11317B11"/>
    <w:rsid w:val="122A6394"/>
    <w:rsid w:val="14CD4CFF"/>
    <w:rsid w:val="1844637C"/>
    <w:rsid w:val="1BF8561A"/>
    <w:rsid w:val="1C416F0A"/>
    <w:rsid w:val="1CC555C9"/>
    <w:rsid w:val="231150AD"/>
    <w:rsid w:val="25310FB7"/>
    <w:rsid w:val="26F96584"/>
    <w:rsid w:val="27465EDA"/>
    <w:rsid w:val="28824F05"/>
    <w:rsid w:val="30D54932"/>
    <w:rsid w:val="338B4FAA"/>
    <w:rsid w:val="34230F72"/>
    <w:rsid w:val="354B6135"/>
    <w:rsid w:val="362C3B09"/>
    <w:rsid w:val="3909310B"/>
    <w:rsid w:val="3A9B7183"/>
    <w:rsid w:val="3BDC07A9"/>
    <w:rsid w:val="3C4A5367"/>
    <w:rsid w:val="3C6329C5"/>
    <w:rsid w:val="40670A5A"/>
    <w:rsid w:val="420B1B06"/>
    <w:rsid w:val="424C09DA"/>
    <w:rsid w:val="442C7B41"/>
    <w:rsid w:val="45B4079B"/>
    <w:rsid w:val="45C65CAF"/>
    <w:rsid w:val="47335B5D"/>
    <w:rsid w:val="497A1393"/>
    <w:rsid w:val="4B161183"/>
    <w:rsid w:val="4B37472C"/>
    <w:rsid w:val="4D034846"/>
    <w:rsid w:val="4F9F566B"/>
    <w:rsid w:val="4FD25A40"/>
    <w:rsid w:val="51D11D27"/>
    <w:rsid w:val="53A95833"/>
    <w:rsid w:val="54E104D3"/>
    <w:rsid w:val="56532BEE"/>
    <w:rsid w:val="62D42F02"/>
    <w:rsid w:val="64630F05"/>
    <w:rsid w:val="653E1BD9"/>
    <w:rsid w:val="674F54EB"/>
    <w:rsid w:val="6B5E4D9F"/>
    <w:rsid w:val="6BA435DB"/>
    <w:rsid w:val="71515460"/>
    <w:rsid w:val="719F3B56"/>
    <w:rsid w:val="71E81AC1"/>
    <w:rsid w:val="72804701"/>
    <w:rsid w:val="73635E0E"/>
    <w:rsid w:val="73A856A1"/>
    <w:rsid w:val="75DA556F"/>
    <w:rsid w:val="762D3121"/>
    <w:rsid w:val="78690BA0"/>
    <w:rsid w:val="7A7430CC"/>
    <w:rsid w:val="7C8248AF"/>
    <w:rsid w:val="7D0F3580"/>
    <w:rsid w:val="7FC24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3"/>
    <w:next w:val="1"/>
    <w:qFormat/>
    <w:uiPriority w:val="9"/>
    <w:pPr>
      <w:keepNext/>
      <w:keepLines/>
      <w:spacing w:before="260" w:after="260" w:line="416" w:lineRule="auto"/>
      <w:outlineLvl w:val="2"/>
    </w:pPr>
    <w:rPr>
      <w:rFonts w:ascii="Calibri" w:hAnsi="Calibri" w:eastAsia="宋体" w:cs="Times New Roman"/>
      <w:b/>
      <w:bCs/>
      <w:szCs w:val="32"/>
    </w:rPr>
  </w:style>
  <w:style w:type="paragraph" w:styleId="4">
    <w:name w:val="heading 4"/>
    <w:basedOn w:val="1"/>
    <w:next w:val="1"/>
    <w:qFormat/>
    <w:uiPriority w:val="9"/>
    <w:pPr>
      <w:spacing w:before="240" w:after="120"/>
      <w:outlineLvl w:val="3"/>
    </w:pPr>
    <w:rPr>
      <w:b/>
      <w:bCs/>
      <w:kern w:val="0"/>
      <w:szCs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4"/>
    <w:pPr>
      <w:ind w:firstLine="420" w:firstLineChars="200"/>
    </w:pPr>
  </w:style>
  <w:style w:type="paragraph" w:styleId="5">
    <w:name w:val="Body Text"/>
    <w:basedOn w:val="1"/>
    <w:qFormat/>
    <w:uiPriority w:val="1"/>
    <w:rPr>
      <w:rFonts w:ascii="Arial Unicode MS" w:hAnsi="Arial Unicode MS" w:eastAsia="Arial Unicode MS" w:cs="Arial Unicode MS"/>
      <w:sz w:val="28"/>
      <w:szCs w:val="28"/>
      <w:lang w:val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2"/>
    <w:basedOn w:val="1"/>
    <w:next w:val="1"/>
    <w:unhideWhenUsed/>
    <w:qFormat/>
    <w:uiPriority w:val="39"/>
    <w:pPr>
      <w:ind w:left="420" w:leftChars="200"/>
    </w:pPr>
  </w:style>
  <w:style w:type="paragraph" w:customStyle="1" w:styleId="11">
    <w:name w:val="WPSOffice手动目录 1"/>
    <w:qFormat/>
    <w:uiPriority w:val="0"/>
    <w:rPr>
      <w:rFonts w:ascii="Calibri" w:hAnsi="Calibri" w:eastAsia="宋体" w:cs="Times New Roman"/>
      <w:lang w:val="en-US" w:eastAsia="zh-CN" w:bidi="ar-SA"/>
    </w:rPr>
  </w:style>
  <w:style w:type="paragraph" w:customStyle="1" w:styleId="12">
    <w:name w:val="标题3"/>
    <w:basedOn w:val="2"/>
    <w:qFormat/>
    <w:uiPriority w:val="99"/>
    <w:pPr>
      <w:spacing w:before="120" w:after="60" w:line="500" w:lineRule="exact"/>
      <w:jc w:val="left"/>
      <w:outlineLvl w:val="0"/>
    </w:pPr>
    <w:rPr>
      <w:rFonts w:ascii="黑体" w:hAnsi="黑体" w:eastAsia="黑体"/>
      <w:b w:val="0"/>
      <w:kern w:val="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4072</Words>
  <Characters>4322</Characters>
  <Lines>0</Lines>
  <Paragraphs>0</Paragraphs>
  <TotalTime>7</TotalTime>
  <ScaleCrop>false</ScaleCrop>
  <LinksUpToDate>false</LinksUpToDate>
  <CharactersWithSpaces>4323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2025-02-06T01:11:00Z</dcterms:created>
  <dc:creator>Administrator</dc:creator>
  <cp:lastModifiedBy>Bao</cp:lastModifiedBy>
  <dcterms:modified xsi:type="dcterms:W3CDTF">2025-03-26T07:02:40Z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eyJoZGlkIjoiNDljMDdlN2NiMTNjZTVlZDFhMjIwNjE3M2M2YWY2MmEiLCJ1c2VySWQiOiIyNTE1NDA5MTAifQ==</vt:lpwstr>
  </property>
  <property fmtid="{D5CDD505-2E9C-101B-9397-08002B2CF9AE}" pid="4" name="ICV">
    <vt:lpwstr>464500A218FF41778F1877893DB37DF0_13</vt:lpwstr>
  </property>
</Properties>
</file>