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E8D4F0">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rPr>
          <w:rFonts w:hint="eastAsia" w:eastAsia="方正小标宋简体" w:cs="Times New Roman"/>
          <w:sz w:val="32"/>
          <w:szCs w:val="32"/>
          <w:lang w:eastAsia="zh-CN"/>
        </w:rPr>
      </w:pPr>
      <w:r>
        <w:rPr>
          <w:rFonts w:hint="eastAsia" w:eastAsia="方正小标宋简体" w:cs="Times New Roman"/>
          <w:sz w:val="32"/>
          <w:szCs w:val="32"/>
          <w:lang w:eastAsia="zh-CN"/>
        </w:rPr>
        <w:t>县十五届人大常委会</w:t>
      </w:r>
    </w:p>
    <w:p w14:paraId="4B0186B7">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rPr>
          <w:rFonts w:hint="eastAsia" w:eastAsia="方正小标宋简体" w:cs="Times New Roman"/>
          <w:sz w:val="32"/>
          <w:szCs w:val="32"/>
          <w:lang w:val="en-US" w:eastAsia="zh-CN"/>
        </w:rPr>
      </w:pPr>
      <w:r>
        <w:rPr>
          <w:rFonts w:hint="eastAsia" w:eastAsia="方正小标宋简体" w:cs="Times New Roman"/>
          <w:sz w:val="32"/>
          <w:szCs w:val="32"/>
          <w:lang w:eastAsia="zh-CN"/>
        </w:rPr>
        <w:t>第十次会议材料（</w:t>
      </w:r>
      <w:r>
        <w:rPr>
          <w:rFonts w:hint="eastAsia" w:eastAsia="方正小标宋简体" w:cs="Times New Roman"/>
          <w:sz w:val="32"/>
          <w:szCs w:val="32"/>
          <w:lang w:val="en-US" w:eastAsia="zh-CN"/>
        </w:rPr>
        <w:t>9）</w:t>
      </w:r>
    </w:p>
    <w:p w14:paraId="3A0ED1BA">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both"/>
        <w:textAlignment w:val="auto"/>
        <w:rPr>
          <w:rFonts w:hint="default" w:eastAsia="方正小标宋简体" w:cs="Times New Roman"/>
          <w:sz w:val="44"/>
          <w:szCs w:val="44"/>
          <w:lang w:val="en-US" w:eastAsia="zh-CN"/>
        </w:rPr>
      </w:pPr>
    </w:p>
    <w:p w14:paraId="53505C05">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伊川县</w:t>
      </w:r>
      <w:r>
        <w:rPr>
          <w:rFonts w:hint="default" w:ascii="Times New Roman" w:hAnsi="Times New Roman" w:eastAsia="方正小标宋简体" w:cs="Times New Roman"/>
          <w:sz w:val="44"/>
          <w:szCs w:val="44"/>
        </w:rPr>
        <w:t>202</w:t>
      </w:r>
      <w:r>
        <w:rPr>
          <w:rFonts w:hint="default" w:ascii="Times New Roman" w:hAnsi="Times New Roman" w:eastAsia="方正小标宋简体" w:cs="Times New Roman"/>
          <w:sz w:val="44"/>
          <w:szCs w:val="44"/>
          <w:lang w:val="en-US" w:eastAsia="zh-CN"/>
        </w:rPr>
        <w:t>3</w:t>
      </w:r>
      <w:r>
        <w:rPr>
          <w:rFonts w:hint="default" w:ascii="Times New Roman" w:hAnsi="Times New Roman" w:eastAsia="方正小标宋简体" w:cs="Times New Roman"/>
          <w:sz w:val="44"/>
          <w:szCs w:val="44"/>
        </w:rPr>
        <w:t>年度国有资产管理情况综合</w:t>
      </w:r>
    </w:p>
    <w:p w14:paraId="68E23F04">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报</w:t>
      </w:r>
      <w:r>
        <w:rPr>
          <w:rFonts w:hint="default" w:ascii="Times New Roman" w:hAnsi="Times New Roman" w:eastAsia="方正小标宋简体" w:cs="Times New Roman"/>
          <w:sz w:val="44"/>
          <w:szCs w:val="44"/>
          <w:lang w:val="en-US" w:eastAsia="zh-CN"/>
        </w:rPr>
        <w:t xml:space="preserve">    </w:t>
      </w:r>
      <w:r>
        <w:rPr>
          <w:rFonts w:hint="default" w:ascii="Times New Roman" w:hAnsi="Times New Roman" w:eastAsia="方正小标宋简体" w:cs="Times New Roman"/>
          <w:sz w:val="44"/>
          <w:szCs w:val="44"/>
        </w:rPr>
        <w:t>告</w:t>
      </w:r>
    </w:p>
    <w:p w14:paraId="29C92B9D">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rPr>
          <w:rFonts w:hint="default" w:ascii="Times New Roman" w:hAnsi="Times New Roman" w:eastAsia="方正小标宋简体" w:cs="Times New Roman"/>
          <w:sz w:val="44"/>
          <w:szCs w:val="44"/>
        </w:rPr>
      </w:pPr>
    </w:p>
    <w:p w14:paraId="69757870">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both"/>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eastAsia="zh-CN"/>
        </w:rPr>
        <w:t>——</w:t>
      </w:r>
      <w:r>
        <w:rPr>
          <w:rFonts w:hint="default" w:ascii="Times New Roman" w:hAnsi="Times New Roman" w:eastAsia="楷体_GB2312" w:cs="Times New Roman"/>
          <w:sz w:val="32"/>
          <w:szCs w:val="32"/>
          <w:lang w:val="en-US" w:eastAsia="zh-CN"/>
        </w:rPr>
        <w:t>2023年</w:t>
      </w:r>
      <w:r>
        <w:rPr>
          <w:rFonts w:hint="eastAsia" w:ascii="Times New Roman" w:hAnsi="Times New Roman" w:eastAsia="楷体_GB2312" w:cs="Times New Roman"/>
          <w:sz w:val="32"/>
          <w:szCs w:val="32"/>
          <w:lang w:val="en-US" w:eastAsia="zh-CN"/>
        </w:rPr>
        <w:t>8</w:t>
      </w:r>
      <w:r>
        <w:rPr>
          <w:rFonts w:hint="default" w:ascii="Times New Roman" w:hAnsi="Times New Roman" w:eastAsia="楷体_GB2312" w:cs="Times New Roman"/>
          <w:sz w:val="32"/>
          <w:szCs w:val="32"/>
          <w:lang w:val="en-US" w:eastAsia="zh-CN"/>
        </w:rPr>
        <w:t>月</w:t>
      </w:r>
      <w:r>
        <w:rPr>
          <w:rFonts w:hint="eastAsia" w:ascii="Times New Roman" w:hAnsi="Times New Roman" w:eastAsia="楷体_GB2312" w:cs="Times New Roman"/>
          <w:sz w:val="32"/>
          <w:szCs w:val="32"/>
          <w:lang w:val="en-US" w:eastAsia="zh-CN"/>
        </w:rPr>
        <w:t>30</w:t>
      </w:r>
      <w:r>
        <w:rPr>
          <w:rFonts w:hint="default" w:ascii="Times New Roman" w:hAnsi="Times New Roman" w:eastAsia="楷体_GB2312" w:cs="Times New Roman"/>
          <w:sz w:val="32"/>
          <w:szCs w:val="32"/>
          <w:lang w:val="en-US" w:eastAsia="zh-CN"/>
        </w:rPr>
        <w:t>日在县十五届人大常委</w:t>
      </w:r>
      <w:bookmarkStart w:id="0" w:name="_GoBack"/>
      <w:bookmarkEnd w:id="0"/>
      <w:r>
        <w:rPr>
          <w:rFonts w:hint="default" w:ascii="Times New Roman" w:hAnsi="Times New Roman" w:eastAsia="楷体_GB2312" w:cs="Times New Roman"/>
          <w:sz w:val="32"/>
          <w:szCs w:val="32"/>
          <w:lang w:val="en-US" w:eastAsia="zh-CN"/>
        </w:rPr>
        <w:t>会第十次会议上</w:t>
      </w:r>
    </w:p>
    <w:p w14:paraId="4D92EEC9">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rPr>
          <w:rFonts w:hint="default" w:eastAsia="方正小标宋简体" w:cs="Times New Roman"/>
          <w:sz w:val="44"/>
          <w:szCs w:val="44"/>
          <w:lang w:val="en-US" w:eastAsia="zh-CN"/>
        </w:rPr>
      </w:pPr>
      <w:r>
        <w:rPr>
          <w:rFonts w:hint="default" w:ascii="Times New Roman" w:hAnsi="Times New Roman" w:eastAsia="楷体_GB2312" w:cs="Times New Roman"/>
          <w:sz w:val="32"/>
          <w:szCs w:val="32"/>
          <w:lang w:val="en-US" w:eastAsia="zh-CN"/>
        </w:rPr>
        <w:t>伊川县人民政府常务副县长  齐小伟</w:t>
      </w:r>
    </w:p>
    <w:p w14:paraId="41A9C66E">
      <w:pPr>
        <w:keepNext w:val="0"/>
        <w:keepLines w:val="0"/>
        <w:pageBreakBefore w:val="0"/>
        <w:widowControl w:val="0"/>
        <w:kinsoku/>
        <w:wordWrap/>
        <w:overflowPunct w:val="0"/>
        <w:topLinePunct w:val="0"/>
        <w:autoSpaceDE/>
        <w:autoSpaceDN/>
        <w:bidi w:val="0"/>
        <w:adjustRightInd/>
        <w:snapToGrid/>
        <w:spacing w:line="300" w:lineRule="exact"/>
        <w:ind w:left="0" w:leftChars="0" w:firstLine="643" w:firstLineChars="200"/>
        <w:jc w:val="both"/>
        <w:textAlignment w:val="auto"/>
        <w:rPr>
          <w:rFonts w:hint="default" w:ascii="Times New Roman" w:hAnsi="Times New Roman" w:eastAsia="楷体_GB2312" w:cs="Times New Roman"/>
          <w:b/>
          <w:bCs/>
          <w:sz w:val="32"/>
          <w:szCs w:val="32"/>
        </w:rPr>
      </w:pPr>
    </w:p>
    <w:p w14:paraId="4F2DC92D">
      <w:pPr>
        <w:keepNext w:val="0"/>
        <w:keepLines w:val="0"/>
        <w:pageBreakBefore w:val="0"/>
        <w:widowControl w:val="0"/>
        <w:kinsoku/>
        <w:wordWrap/>
        <w:overflowPunct w:val="0"/>
        <w:topLinePunct w:val="0"/>
        <w:autoSpaceDE/>
        <w:autoSpaceDN/>
        <w:bidi w:val="0"/>
        <w:adjustRightInd/>
        <w:snapToGrid/>
        <w:spacing w:line="610" w:lineRule="exact"/>
        <w:ind w:left="0" w:leftChars="0" w:firstLine="0" w:firstLineChars="0"/>
        <w:jc w:val="both"/>
        <w:textAlignment w:val="auto"/>
        <w:rPr>
          <w:rFonts w:hint="default" w:ascii="Times New Roman" w:hAnsi="Times New Roman" w:eastAsia="仿宋_GB2312" w:cs="Times New Roman"/>
          <w:bCs/>
          <w:color w:val="000000" w:themeColor="text1"/>
          <w:sz w:val="32"/>
          <w:szCs w:val="32"/>
          <w14:textFill>
            <w14:solidFill>
              <w14:schemeClr w14:val="tx1"/>
            </w14:solidFill>
          </w14:textFill>
        </w:rPr>
      </w:pPr>
      <w:r>
        <w:rPr>
          <w:rFonts w:hint="default" w:ascii="Times New Roman" w:hAnsi="Times New Roman" w:eastAsia="仿宋_GB2312" w:cs="Times New Roman"/>
          <w:b/>
          <w:bCs/>
          <w:sz w:val="32"/>
          <w:szCs w:val="32"/>
        </w:rPr>
        <w:t>主任、各位副主任、各位委员：</w:t>
      </w:r>
    </w:p>
    <w:p w14:paraId="27AFB4E0">
      <w:pPr>
        <w:keepNext w:val="0"/>
        <w:keepLines w:val="0"/>
        <w:pageBreakBefore w:val="0"/>
        <w:widowControl w:val="0"/>
        <w:kinsoku/>
        <w:wordWrap/>
        <w:overflowPunct w:val="0"/>
        <w:topLinePunct w:val="0"/>
        <w:autoSpaceDE/>
        <w:autoSpaceDN/>
        <w:bidi w:val="0"/>
        <w:adjustRightInd/>
        <w:snapToGrid/>
        <w:spacing w:line="610" w:lineRule="exact"/>
        <w:ind w:firstLine="640" w:firstLineChars="200"/>
        <w:jc w:val="both"/>
        <w:textAlignment w:val="auto"/>
        <w:rPr>
          <w:rFonts w:hint="default" w:ascii="Times New Roman" w:hAnsi="Times New Roman" w:eastAsia="仿宋_GB2312" w:cs="Times New Roman"/>
          <w:bCs/>
          <w:color w:val="000000" w:themeColor="text1"/>
          <w:sz w:val="32"/>
          <w:szCs w:val="32"/>
          <w14:textFill>
            <w14:solidFill>
              <w14:schemeClr w14:val="tx1"/>
            </w14:solidFill>
          </w14:textFill>
        </w:rPr>
      </w:pPr>
      <w:r>
        <w:rPr>
          <w:rFonts w:hint="default" w:ascii="Times New Roman" w:hAnsi="Times New Roman" w:eastAsia="仿宋_GB2312" w:cs="Times New Roman"/>
          <w:bCs/>
          <w:color w:val="000000" w:themeColor="text1"/>
          <w:sz w:val="32"/>
          <w:szCs w:val="32"/>
          <w14:textFill>
            <w14:solidFill>
              <w14:schemeClr w14:val="tx1"/>
            </w14:solidFill>
          </w14:textFill>
        </w:rPr>
        <w:t>按照《</w:t>
      </w:r>
      <w:r>
        <w:rPr>
          <w:rFonts w:hint="default" w:ascii="Times New Roman" w:hAnsi="Times New Roman" w:eastAsia="仿宋_GB2312" w:cs="Times New Roman"/>
          <w:bCs/>
          <w:color w:val="000000" w:themeColor="text1"/>
          <w:sz w:val="32"/>
          <w:szCs w:val="32"/>
          <w:lang w:eastAsia="zh-CN"/>
          <w14:textFill>
            <w14:solidFill>
              <w14:schemeClr w14:val="tx1"/>
            </w14:solidFill>
          </w14:textFill>
        </w:rPr>
        <w:t>伊川县</w:t>
      </w:r>
      <w:r>
        <w:rPr>
          <w:rFonts w:hint="default" w:ascii="Times New Roman" w:hAnsi="Times New Roman" w:eastAsia="仿宋_GB2312" w:cs="Times New Roman"/>
          <w:bCs/>
          <w:color w:val="000000" w:themeColor="text1"/>
          <w:sz w:val="32"/>
          <w:szCs w:val="32"/>
          <w14:textFill>
            <w14:solidFill>
              <w14:schemeClr w14:val="tx1"/>
            </w14:solidFill>
          </w14:textFill>
        </w:rPr>
        <w:t>人大常委会听取和审议</w:t>
      </w:r>
      <w:r>
        <w:rPr>
          <w:rFonts w:hint="default" w:ascii="Times New Roman" w:hAnsi="Times New Roman" w:eastAsia="仿宋_GB2312" w:cs="Times New Roman"/>
          <w:bCs/>
          <w:color w:val="000000" w:themeColor="text1"/>
          <w:sz w:val="32"/>
          <w:szCs w:val="32"/>
          <w:lang w:eastAsia="zh-CN"/>
          <w14:textFill>
            <w14:solidFill>
              <w14:schemeClr w14:val="tx1"/>
            </w14:solidFill>
          </w14:textFill>
        </w:rPr>
        <w:t>县</w:t>
      </w:r>
      <w:r>
        <w:rPr>
          <w:rFonts w:hint="default" w:ascii="Times New Roman" w:hAnsi="Times New Roman" w:eastAsia="仿宋_GB2312" w:cs="Times New Roman"/>
          <w:bCs/>
          <w:color w:val="000000" w:themeColor="text1"/>
          <w:sz w:val="32"/>
          <w:szCs w:val="32"/>
          <w14:textFill>
            <w14:solidFill>
              <w14:schemeClr w14:val="tx1"/>
            </w14:solidFill>
          </w14:textFill>
        </w:rPr>
        <w:t>政府关于国有资产管理情况综合报告的实施方案》</w:t>
      </w:r>
      <w:r>
        <w:rPr>
          <w:rFonts w:hint="default" w:ascii="Times New Roman" w:hAnsi="Times New Roman" w:eastAsia="仿宋_GB2312" w:cs="Times New Roman"/>
          <w:bCs/>
          <w:color w:val="000000" w:themeColor="text1"/>
          <w:sz w:val="32"/>
          <w:szCs w:val="32"/>
          <w:lang w:eastAsia="zh-CN"/>
          <w14:textFill>
            <w14:solidFill>
              <w14:schemeClr w14:val="tx1"/>
            </w14:solidFill>
          </w14:textFill>
        </w:rPr>
        <w:t>文件精神</w:t>
      </w:r>
      <w:r>
        <w:rPr>
          <w:rFonts w:hint="default" w:ascii="Times New Roman" w:hAnsi="Times New Roman" w:eastAsia="仿宋_GB2312" w:cs="Times New Roman"/>
          <w:bCs/>
          <w:color w:val="000000" w:themeColor="text1"/>
          <w:sz w:val="32"/>
          <w:szCs w:val="32"/>
          <w14:textFill>
            <w14:solidFill>
              <w14:schemeClr w14:val="tx1"/>
            </w14:solidFill>
          </w14:textFill>
        </w:rPr>
        <w:t>，根据县人大常委会监督工作计划要求，我代表县政府作伊川县202</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bCs/>
          <w:color w:val="000000" w:themeColor="text1"/>
          <w:sz w:val="32"/>
          <w:szCs w:val="32"/>
          <w14:textFill>
            <w14:solidFill>
              <w14:schemeClr w14:val="tx1"/>
            </w14:solidFill>
          </w14:textFill>
        </w:rPr>
        <w:t>年国有资产管理情况综合报告，请予审议。</w:t>
      </w:r>
    </w:p>
    <w:p w14:paraId="266C6C38">
      <w:pPr>
        <w:pStyle w:val="2"/>
        <w:keepNext/>
        <w:keepLines w:val="0"/>
        <w:pageBreakBefore w:val="0"/>
        <w:widowControl w:val="0"/>
        <w:numPr>
          <w:ilvl w:val="0"/>
          <w:numId w:val="0"/>
        </w:numPr>
        <w:kinsoku/>
        <w:wordWrap/>
        <w:overflowPunct w:val="0"/>
        <w:topLinePunct w:val="0"/>
        <w:autoSpaceDE/>
        <w:autoSpaceDN/>
        <w:bidi w:val="0"/>
        <w:adjustRightInd/>
        <w:snapToGrid w:val="0"/>
        <w:spacing w:line="610" w:lineRule="exact"/>
        <w:ind w:firstLine="640" w:firstLineChars="200"/>
        <w:textAlignment w:val="auto"/>
        <w:rPr>
          <w:rFonts w:hint="default" w:ascii="Times New Roman" w:hAnsi="Times New Roman" w:eastAsia="黑体" w:cs="Times New Roman"/>
        </w:rPr>
      </w:pPr>
      <w:r>
        <w:rPr>
          <w:rFonts w:hint="default" w:ascii="Times New Roman" w:hAnsi="Times New Roman" w:eastAsia="黑体" w:cs="Times New Roman"/>
          <w:lang w:val="en-US" w:eastAsia="zh-CN"/>
        </w:rPr>
        <w:t>一、</w:t>
      </w:r>
      <w:r>
        <w:rPr>
          <w:rFonts w:hint="default" w:ascii="Times New Roman" w:hAnsi="Times New Roman" w:eastAsia="黑体" w:cs="Times New Roman"/>
        </w:rPr>
        <w:t>企业国有资产（不含金融企业）</w:t>
      </w:r>
      <w:r>
        <w:rPr>
          <w:rFonts w:hint="default" w:ascii="Times New Roman" w:hAnsi="Times New Roman" w:eastAsia="黑体" w:cs="Times New Roman"/>
          <w:lang w:val="en-US" w:eastAsia="zh-CN"/>
        </w:rPr>
        <w:t>主要经营</w:t>
      </w:r>
      <w:r>
        <w:rPr>
          <w:rFonts w:hint="default" w:ascii="Times New Roman" w:hAnsi="Times New Roman" w:eastAsia="黑体" w:cs="Times New Roman"/>
        </w:rPr>
        <w:t>情况</w:t>
      </w:r>
    </w:p>
    <w:p w14:paraId="2A70D34C">
      <w:pPr>
        <w:pStyle w:val="2"/>
        <w:keepNext/>
        <w:keepLines w:val="0"/>
        <w:pageBreakBefore w:val="0"/>
        <w:widowControl w:val="0"/>
        <w:numPr>
          <w:ilvl w:val="0"/>
          <w:numId w:val="0"/>
        </w:numPr>
        <w:kinsoku/>
        <w:wordWrap/>
        <w:overflowPunct w:val="0"/>
        <w:topLinePunct w:val="0"/>
        <w:autoSpaceDE/>
        <w:autoSpaceDN/>
        <w:bidi w:val="0"/>
        <w:adjustRightInd/>
        <w:snapToGrid w:val="0"/>
        <w:spacing w:line="610" w:lineRule="exact"/>
        <w:ind w:firstLine="643" w:firstLineChars="200"/>
        <w:textAlignment w:val="auto"/>
        <w:rPr>
          <w:rFonts w:hint="default" w:ascii="Times New Roman" w:hAnsi="Times New Roman" w:eastAsia="楷体_GB2312" w:cs="Times New Roman"/>
          <w:b/>
          <w:bCs/>
          <w:lang w:val="en-US" w:eastAsia="zh-CN"/>
        </w:rPr>
      </w:pPr>
      <w:r>
        <w:rPr>
          <w:rFonts w:hint="default" w:ascii="Times New Roman" w:hAnsi="Times New Roman" w:eastAsia="楷体_GB2312" w:cs="Times New Roman"/>
          <w:b/>
          <w:bCs/>
          <w:lang w:eastAsia="zh-CN"/>
        </w:rPr>
        <w:t>（</w:t>
      </w:r>
      <w:r>
        <w:rPr>
          <w:rFonts w:hint="default" w:ascii="Times New Roman" w:hAnsi="Times New Roman" w:eastAsia="楷体_GB2312" w:cs="Times New Roman"/>
          <w:b/>
          <w:bCs/>
          <w:lang w:val="en-US" w:eastAsia="zh-CN"/>
        </w:rPr>
        <w:t>一</w:t>
      </w:r>
      <w:r>
        <w:rPr>
          <w:rFonts w:hint="default" w:ascii="Times New Roman" w:hAnsi="Times New Roman" w:eastAsia="楷体_GB2312" w:cs="Times New Roman"/>
          <w:b/>
          <w:bCs/>
          <w:lang w:eastAsia="zh-CN"/>
        </w:rPr>
        <w:t>）</w:t>
      </w:r>
      <w:r>
        <w:rPr>
          <w:rFonts w:hint="default" w:ascii="Times New Roman" w:hAnsi="Times New Roman" w:eastAsia="楷体_GB2312" w:cs="Times New Roman"/>
          <w:b/>
          <w:bCs/>
        </w:rPr>
        <w:t>企业</w:t>
      </w:r>
      <w:r>
        <w:rPr>
          <w:rFonts w:hint="default" w:ascii="Times New Roman" w:hAnsi="Times New Roman" w:eastAsia="楷体_GB2312" w:cs="Times New Roman"/>
          <w:b/>
          <w:bCs/>
          <w:lang w:val="en-US" w:eastAsia="zh-CN"/>
        </w:rPr>
        <w:t>年度运营情况。</w:t>
      </w:r>
    </w:p>
    <w:p w14:paraId="6AA07810">
      <w:pPr>
        <w:keepNext w:val="0"/>
        <w:keepLines w:val="0"/>
        <w:pageBreakBefore w:val="0"/>
        <w:widowControl w:val="0"/>
        <w:kinsoku/>
        <w:wordWrap/>
        <w:overflowPunct w:val="0"/>
        <w:topLinePunct w:val="0"/>
        <w:autoSpaceDE/>
        <w:autoSpaceDN/>
        <w:bidi w:val="0"/>
        <w:adjustRightInd/>
        <w:snapToGrid/>
        <w:spacing w:line="610" w:lineRule="exact"/>
        <w:ind w:firstLine="640" w:firstLineChars="200"/>
        <w:jc w:val="both"/>
        <w:textAlignment w:val="auto"/>
        <w:rPr>
          <w:rFonts w:hint="default" w:ascii="Times New Roman" w:hAnsi="Times New Roman" w:eastAsia="仿宋_GB2312" w:cs="Times New Roman"/>
          <w:bCs/>
          <w:color w:val="000000" w:themeColor="text1"/>
          <w:sz w:val="32"/>
          <w:szCs w:val="32"/>
          <w:lang w:eastAsia="zh-CN"/>
          <w14:textFill>
            <w14:solidFill>
              <w14:schemeClr w14:val="tx1"/>
            </w14:solidFill>
          </w14:textFill>
        </w:rPr>
      </w:pP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截止2023年底全县国有企业</w:t>
      </w:r>
      <w:r>
        <w:rPr>
          <w:rFonts w:hint="default" w:ascii="Times New Roman" w:hAnsi="Times New Roman" w:eastAsia="仿宋_GB2312" w:cs="Times New Roman"/>
          <w:bCs/>
          <w:color w:val="000000" w:themeColor="text1"/>
          <w:sz w:val="32"/>
          <w:szCs w:val="32"/>
          <w14:textFill>
            <w14:solidFill>
              <w14:schemeClr w14:val="tx1"/>
            </w14:solidFill>
          </w14:textFill>
        </w:rPr>
        <w:t>资产总额</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405.53</w:t>
      </w:r>
      <w:r>
        <w:rPr>
          <w:rFonts w:hint="default" w:ascii="Times New Roman" w:hAnsi="Times New Roman" w:eastAsia="仿宋_GB2312" w:cs="Times New Roman"/>
          <w:bCs/>
          <w:color w:val="000000" w:themeColor="text1"/>
          <w:sz w:val="32"/>
          <w:szCs w:val="32"/>
          <w14:textFill>
            <w14:solidFill>
              <w14:schemeClr w14:val="tx1"/>
            </w14:solidFill>
          </w14:textFill>
        </w:rPr>
        <w:t>亿元，负债总额</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127.69</w:t>
      </w:r>
      <w:r>
        <w:rPr>
          <w:rFonts w:hint="default" w:ascii="Times New Roman" w:hAnsi="Times New Roman" w:eastAsia="仿宋_GB2312" w:cs="Times New Roman"/>
          <w:bCs/>
          <w:color w:val="000000" w:themeColor="text1"/>
          <w:sz w:val="32"/>
          <w:szCs w:val="32"/>
          <w14:textFill>
            <w14:solidFill>
              <w14:schemeClr w14:val="tx1"/>
            </w14:solidFill>
          </w14:textFill>
        </w:rPr>
        <w:t>亿元，营业收入</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3.21</w:t>
      </w:r>
      <w:r>
        <w:rPr>
          <w:rFonts w:hint="default" w:ascii="Times New Roman" w:hAnsi="Times New Roman" w:eastAsia="仿宋_GB2312" w:cs="Times New Roman"/>
          <w:bCs/>
          <w:color w:val="000000" w:themeColor="text1"/>
          <w:sz w:val="32"/>
          <w:szCs w:val="32"/>
          <w14:textFill>
            <w14:solidFill>
              <w14:schemeClr w14:val="tx1"/>
            </w14:solidFill>
          </w14:textFill>
        </w:rPr>
        <w:t>亿元。</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下设子公司108个，职工人数3231名。</w:t>
      </w:r>
      <w:r>
        <w:rPr>
          <w:rFonts w:hint="default" w:ascii="Times New Roman" w:hAnsi="Times New Roman" w:eastAsia="仿宋_GB2312" w:cs="Times New Roman"/>
          <w:bCs/>
          <w:color w:val="000000" w:themeColor="text1"/>
          <w:sz w:val="32"/>
          <w:szCs w:val="32"/>
          <w:lang w:eastAsia="zh-CN"/>
          <w14:textFill>
            <w14:solidFill>
              <w14:schemeClr w14:val="tx1"/>
            </w14:solidFill>
          </w14:textFill>
        </w:rPr>
        <w:t>伊川县无金融企业国有资产。</w:t>
      </w:r>
    </w:p>
    <w:p w14:paraId="233E6A21">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jc w:val="both"/>
        <w:textAlignment w:val="auto"/>
        <w:outlineLvl w:val="9"/>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sz w:val="32"/>
          <w:szCs w:val="32"/>
          <w:lang w:val="en-US" w:eastAsia="zh-CN"/>
        </w:rPr>
        <w:t>1、洛阳晟源投资控股集团有限公司，</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成立于2023年6月，股东为伊川县国有资产管理中心（控股100％），截至2023年底资产总额128.27亿元，实现营业收入1726.79万元，负债总额6.25亿元。公司人员15人，其中：班子成员2人，正式员工13人，子公司13个。我县按照现有国有企业布局结构推进了市场化转型，以乡村振兴公司100%、产投公司100%、财源公司39%、水资源公司30%等8家县属国有企业的股权进行整合，在2023年9月，获AA主体信用等级。</w:t>
      </w:r>
    </w:p>
    <w:p w14:paraId="154E3451">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jc w:val="both"/>
        <w:textAlignment w:val="auto"/>
        <w:outlineLvl w:val="9"/>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sz w:val="32"/>
          <w:szCs w:val="32"/>
          <w:lang w:val="en-US" w:eastAsia="zh-CN"/>
        </w:rPr>
        <w:t>2、伊川国志信资产管理有限公司，</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股东为伊川县国有资产管理中心（控股100％），2023年资产总额8573万元，实现营业收入140.7万元，负债总额4445万元，所有者权益总额4128.1万元，资产负债率51.85%。公司人员2355人，其中：在岗241人，改制职工不在岗937人，退休1177人，子公司57个。由于该企业在2018年接收脱钩改制企业历史包袱沉重，导致商业、物资、粮食等国有制市场逐渐淡出市场。现阶段，接收企业大多数已处于停产或半停产状态，无主业经营，主要依靠门面房收入维持生计，大部分存在长期合同，短期内见不到收益。改制54家企业财务报表反映有30家企业资产负债率超100%，资不抵债，共性问题是人员包袱大，下岗职工多、欠缴社保金多，造成多数企业连年亏损。</w:t>
      </w:r>
    </w:p>
    <w:p w14:paraId="21060180">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jc w:val="both"/>
        <w:textAlignment w:val="auto"/>
        <w:outlineLvl w:val="9"/>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sz w:val="32"/>
          <w:szCs w:val="32"/>
          <w:lang w:val="en-US" w:eastAsia="zh-CN"/>
        </w:rPr>
        <w:t>3、伊川财源实业投资有限责任公司，</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股东为洛阳城市发展投资集团有限公司（控股51％）、洛阳晟源投资控股集团有限公司（参股39％）、河南省财政厅（参股10％），2023年资产总额184.50亿元，负债总额108.89亿元，所有者权益总额75.61亿元，营业收入9,750.11万元，资产负债率59%。公司人员710人，其中：总公司78人，子公司632人。子公司23个。目前金融环境整体较差，该公司受债务规模较大等因素影响，借新还旧包袱沉重，银行新增贷款已无法实现，部分金融机构抽贷、压贷等现象时有发生，对经营造成很大的压力。另外，业务板块发展态势不均衡、不协调等现象较为突出，例如：公交、文旅等公益事业板块运营能力较弱，持续处于亏损状态，依靠总公司“输血”来发展，影响企业整体经营发展。</w:t>
      </w:r>
    </w:p>
    <w:p w14:paraId="0302C4C9">
      <w:pPr>
        <w:keepNext w:val="0"/>
        <w:keepLines w:val="0"/>
        <w:pageBreakBefore w:val="0"/>
        <w:widowControl w:val="0"/>
        <w:kinsoku/>
        <w:wordWrap/>
        <w:overflowPunct w:val="0"/>
        <w:topLinePunct w:val="0"/>
        <w:autoSpaceDE/>
        <w:autoSpaceDN/>
        <w:bidi w:val="0"/>
        <w:adjustRightInd/>
        <w:snapToGrid/>
        <w:spacing w:line="61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sz w:val="32"/>
          <w:szCs w:val="32"/>
          <w:lang w:val="en-US" w:eastAsia="zh-CN"/>
        </w:rPr>
        <w:t>4、伊川乡村振兴发展有限责任公司，</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股东为洛阳晟源投资控股集团有限公司（控股100％），2023年底资产总额16.91亿元，负债总额7.74亿元，所有者权益总额9.17亿元，营业收入691.97万元，资产负债率45.77%。公司人员68人，其中：班子成员5人，借调人员9人，正式员工23人，劳务派遣员工31人。子公司7个。该公司公益性资产占比较多，导致造血功能不强，发展质量不高，缺乏投融资、乡村运营等方面的专业人才。一是子公司麒裕公司自成立以来，致力于肉牛养殖扩群增量，但由于肉牛市场价格跳水等因素，导致公司经营性业务受到影响。二是在公司从项目公司转变为实体公司的过程中，伴随着房地产市场的低位调整，公司着力突破的建筑原材料商贸业务受阻，影响了公司进一步扩大营收能力。三是垃圾清运业务移交后，现金流减少，导致应收能力下降。</w:t>
      </w:r>
    </w:p>
    <w:p w14:paraId="660F122F">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jc w:val="both"/>
        <w:textAlignment w:val="auto"/>
        <w:outlineLvl w:val="9"/>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sz w:val="32"/>
          <w:szCs w:val="32"/>
          <w:lang w:val="en-US" w:eastAsia="zh-CN"/>
        </w:rPr>
        <w:t>5、伊川县产业投资发展有限公司，</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股东为洛阳晟源投资控股集团有限公司（控股100％），2023年底资产总额5.31亿元，负债总额3.19亿元，所有者权益总额2.12亿元，营业收入1.86亿元，资产负债率60%。公司人员55人，其中：正式员工40人，临时用工15人。子公司9个。亏损原因，一是承接县开发区道路绿化、管养、保洁及亮化等政府项目公益性支出；二是公司持有的房屋建筑物、各类设备等资产按照税法计提的折旧费用；三是疫情期间，按照县委县政府要求设置县疫情隔离点的设施及修理支出、以及提供疫情使用的相应物资等支出；四是公司持有的房屋、土地资产按照税法缴纳的房产税、土地使用税。</w:t>
      </w:r>
    </w:p>
    <w:p w14:paraId="1F8A590F">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jc w:val="both"/>
        <w:textAlignment w:val="auto"/>
        <w:outlineLvl w:val="9"/>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sz w:val="32"/>
          <w:szCs w:val="32"/>
          <w:lang w:val="en-US" w:eastAsia="zh-CN"/>
        </w:rPr>
        <w:t>6、伊川县伊兴源水资源开发有限公司，</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成立于2022年7月，股东为伊川县国有资产管理中心（控股70％）、洛阳晟源投资控股集团有限公司（控股30％），2023年资产总额69.69亿元，负债总额1.18亿元，所有者权益总额68.51亿元，营业收入1253.53万元，资产负债率17.22%。公司人员20个，子公司2个。成立该公司目的是为了盘活水利基础设施闲置资产，实现国有资产价值最大化，推进县域农业、节水提质建设提高水平。年初已完成董事会任命，因组建时间短，现阶段在制定相关企业制度体系建设。</w:t>
      </w:r>
    </w:p>
    <w:p w14:paraId="669A17D1">
      <w:pPr>
        <w:pStyle w:val="2"/>
        <w:keepNext/>
        <w:keepLines w:val="0"/>
        <w:pageBreakBefore w:val="0"/>
        <w:widowControl w:val="0"/>
        <w:numPr>
          <w:ilvl w:val="0"/>
          <w:numId w:val="0"/>
        </w:numPr>
        <w:kinsoku/>
        <w:wordWrap/>
        <w:overflowPunct w:val="0"/>
        <w:topLinePunct w:val="0"/>
        <w:autoSpaceDE/>
        <w:autoSpaceDN/>
        <w:bidi w:val="0"/>
        <w:adjustRightInd/>
        <w:snapToGrid w:val="0"/>
        <w:spacing w:line="610" w:lineRule="exact"/>
        <w:ind w:firstLine="643" w:firstLineChars="200"/>
        <w:textAlignment w:val="auto"/>
        <w:rPr>
          <w:rFonts w:hint="default" w:ascii="Times New Roman" w:hAnsi="Times New Roman" w:eastAsia="楷体_GB2312" w:cs="Times New Roman"/>
          <w:b/>
          <w:bCs/>
          <w:lang w:eastAsia="zh-CN"/>
        </w:rPr>
      </w:pPr>
      <w:r>
        <w:rPr>
          <w:rFonts w:hint="default" w:ascii="Times New Roman" w:hAnsi="Times New Roman" w:eastAsia="楷体_GB2312" w:cs="Times New Roman"/>
          <w:b/>
          <w:bCs/>
          <w:lang w:eastAsia="zh-CN"/>
        </w:rPr>
        <w:t>（</w:t>
      </w:r>
      <w:r>
        <w:rPr>
          <w:rFonts w:hint="default" w:ascii="Times New Roman" w:hAnsi="Times New Roman" w:eastAsia="楷体_GB2312" w:cs="Times New Roman"/>
          <w:b/>
          <w:bCs/>
          <w:lang w:val="en-US" w:eastAsia="zh-CN"/>
        </w:rPr>
        <w:t>二</w:t>
      </w:r>
      <w:r>
        <w:rPr>
          <w:rFonts w:hint="default" w:ascii="Times New Roman" w:hAnsi="Times New Roman" w:eastAsia="楷体_GB2312" w:cs="Times New Roman"/>
          <w:b/>
          <w:bCs/>
          <w:lang w:eastAsia="zh-CN"/>
        </w:rPr>
        <w:t>）国企改革推进</w:t>
      </w:r>
      <w:r>
        <w:rPr>
          <w:rFonts w:hint="default" w:ascii="Times New Roman" w:hAnsi="Times New Roman" w:eastAsia="楷体_GB2312" w:cs="Times New Roman"/>
          <w:b/>
          <w:bCs/>
          <w:lang w:val="en-US" w:eastAsia="zh-CN"/>
        </w:rPr>
        <w:t>情况</w:t>
      </w:r>
      <w:r>
        <w:rPr>
          <w:rFonts w:hint="default" w:ascii="Times New Roman" w:hAnsi="Times New Roman" w:eastAsia="楷体_GB2312" w:cs="Times New Roman"/>
          <w:b/>
          <w:bCs/>
          <w:lang w:eastAsia="zh-CN"/>
        </w:rPr>
        <w:t>。</w:t>
      </w:r>
    </w:p>
    <w:p w14:paraId="2D4F5AC3">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0" w:firstLineChars="200"/>
        <w:jc w:val="both"/>
        <w:textAlignment w:val="auto"/>
        <w:outlineLvl w:val="9"/>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我县紧紧围绕“国企改革三年行动方案”要求，按照市委市政府和市国资委统一工作部署，稳妥稳步推动国资国企改革工作纵深发展，主要以聚焦“完善中国特色现代企业制度、推进国有经济布局优化和结构调整、积极稳妥深化混合所有制改革、建立健全市场化经营机制、完善以管资本为主的国资监管体制、加强国有企业党的领导和党的建设”，推动我县国企改革走深走实，统筹国有资本战略布局，完善以管资本为主的国资监管体制，进一步增强国有经济竞争力、创新力、控制力、影响力和抗风险能力，切实发挥国有企业在经济发展中的带动作用。</w:t>
      </w:r>
    </w:p>
    <w:p w14:paraId="590609F0">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0" w:firstLineChars="200"/>
        <w:jc w:val="both"/>
        <w:textAlignment w:val="auto"/>
        <w:outlineLvl w:val="9"/>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2023年我县借鉴市国晟集团组建的经验模式，在国企中通过管理架构重组，组建了国有资产运营管理集团（洛阳晟源投资控股集团有限公司），以乡村振兴公司100%、产投公司100%、财源公司39%、水资源公司30%等8家县属国有企业的股权进行整合。</w:t>
      </w:r>
    </w:p>
    <w:p w14:paraId="61501CAE">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jc w:val="both"/>
        <w:textAlignment w:val="auto"/>
        <w:outlineLvl w:val="9"/>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1、强化风险意识，防范化解债务风险</w:t>
      </w:r>
    </w:p>
    <w:p w14:paraId="05DB6ABD">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0" w:firstLineChars="200"/>
        <w:jc w:val="both"/>
        <w:textAlignment w:val="auto"/>
        <w:outlineLvl w:val="9"/>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防范化解国企债务风险，是中央、省、市高度重视的重点任务。我县紧跟国家信贷政策导向，积极创新融资方式，深入挖掘伊川县资源、资产和信用的优势，灵活采用直接融资、间接融资及非标融资等手段，有效拓宽企业融资渠道。首先，确保债务管理工作有序进行，将资产负债率稳定在安全区间，针对企业债务进行精准施策，确保“严控增量、稳步减少存量”的目标得以实现。财源公司建立了偿债机制，严格控制新增债务，通过合理规划和财务管理，逐年缩减既有债务规模。其次，深入研究关于产业发展、投资引导和支持政策的最新动态，结合县域城市建设、综合运营、民生保障和乡村振兴等实际需求，精心策划并储备了一批具有发展潜力的投资项目，积极争取专项债、项目贷等资金支持，累计达到20亿元，有力保障了企业运营和县域重点项目建设的资金需求。通过优化债务结构、加强财务管理和风险控制，确保企业债务风险得到有效防范，切实维护了伊川县良好的信用环境，把防范债务风险摆在更加突出的位置，不断加强债务管理工作，资产负债率控制在较低水平。</w:t>
      </w:r>
    </w:p>
    <w:p w14:paraId="1CE35571">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jc w:val="both"/>
        <w:textAlignment w:val="auto"/>
        <w:outlineLvl w:val="9"/>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2、聚焦改革创新，让资产“动”起来</w:t>
      </w:r>
    </w:p>
    <w:p w14:paraId="62EB3C80">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0" w:firstLineChars="200"/>
        <w:jc w:val="both"/>
        <w:textAlignment w:val="auto"/>
        <w:outlineLvl w:val="9"/>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为壮大集团资产规模2023年6月将21处行政单位土地和资产，以及停车场（泊位）、城市广告、地热及玄武岩资源特许经营权统一整合到晟源集团，充分发挥了集团投资、建设、运营主体作用和资产集约化优势。</w:t>
      </w:r>
    </w:p>
    <w:p w14:paraId="4676C475">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jc w:val="both"/>
        <w:textAlignment w:val="auto"/>
        <w:outlineLvl w:val="9"/>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3、建立健全现代企业制度，推进企业高质量发展</w:t>
      </w:r>
    </w:p>
    <w:p w14:paraId="4912B98E">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0" w:firstLineChars="200"/>
        <w:jc w:val="both"/>
        <w:textAlignment w:val="auto"/>
        <w:outlineLvl w:val="9"/>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首先，根据《河南省健全以管资本为主的国有资产监管体系工作方案》明确了转变国有资产管理监管的理念。一是实行全面实行清单管理。主要以提高国有资本效率、增强企业活力为中心，聚焦重大投资事项监管、财务风险防范、企业负责人经营业绩考核、违规经营责任追究等监管事项，进一步调整优化国资部门职能、履职重点、厘清职责边界，修订完善权力和责任清单，清单以外事项由企业依法自主决策，定期评估并动态调整授权放权清单。截止目前，结合前期出的“企业三重一大、经营业绩考核、违规经营责任追究”等方案已基本完善，下步将参照上级最新的调整优化内容进行更新、填补、出台、下发。二是搭建3个层级组织架构。按照现代企业制度建设，落实各企业董事会决策、管理层经营、监事会监督的现代法人治理结构。各层级企业为独立法人，建立相应层级的风险隔离机制，提高企业竞争力，实现企业可持续发展。形成运营闭环，实现项目与收益的合理匹配，提升企业自我造血能力、资本运作能力，化解企业债务风险。</w:t>
      </w:r>
    </w:p>
    <w:p w14:paraId="30A222F3">
      <w:pPr>
        <w:pStyle w:val="2"/>
        <w:keepNext/>
        <w:keepLines w:val="0"/>
        <w:pageBreakBefore w:val="0"/>
        <w:widowControl w:val="0"/>
        <w:numPr>
          <w:ilvl w:val="0"/>
          <w:numId w:val="0"/>
        </w:numPr>
        <w:kinsoku/>
        <w:wordWrap/>
        <w:overflowPunct w:val="0"/>
        <w:topLinePunct w:val="0"/>
        <w:autoSpaceDE/>
        <w:autoSpaceDN/>
        <w:bidi w:val="0"/>
        <w:adjustRightInd/>
        <w:snapToGrid w:val="0"/>
        <w:spacing w:line="610" w:lineRule="exact"/>
        <w:ind w:firstLine="643" w:firstLineChars="200"/>
        <w:textAlignment w:val="auto"/>
        <w:rPr>
          <w:rFonts w:hint="default" w:ascii="Times New Roman" w:hAnsi="Times New Roman" w:eastAsia="楷体_GB2312" w:cs="Times New Roman"/>
          <w:b/>
          <w:bCs/>
          <w:lang w:eastAsia="zh-CN"/>
        </w:rPr>
      </w:pPr>
      <w:r>
        <w:rPr>
          <w:rFonts w:hint="default" w:ascii="Times New Roman" w:hAnsi="Times New Roman" w:eastAsia="楷体_GB2312" w:cs="Times New Roman"/>
          <w:b/>
          <w:bCs/>
          <w:lang w:val="en-US" w:eastAsia="zh-CN"/>
        </w:rPr>
        <w:t>（三）薪酬绩效考核和企业管理情况</w:t>
      </w:r>
      <w:r>
        <w:rPr>
          <w:rFonts w:hint="default" w:ascii="Times New Roman" w:hAnsi="Times New Roman" w:eastAsia="楷体_GB2312" w:cs="Times New Roman"/>
          <w:b/>
          <w:bCs/>
          <w:lang w:eastAsia="zh-CN"/>
        </w:rPr>
        <w:t>。</w:t>
      </w:r>
    </w:p>
    <w:p w14:paraId="04880ED1">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我县国企高层人事关系大多数在原单位，暂未实行薪酬制度改革。下一步将走访调研其他县区薪酬体制相关经验，畅通县属国有企业与党政机关干部“双向交流”任职通道。</w:t>
      </w:r>
    </w:p>
    <w:p w14:paraId="590F4D52">
      <w:pPr>
        <w:pStyle w:val="2"/>
        <w:keepNext/>
        <w:keepLines w:val="0"/>
        <w:pageBreakBefore w:val="0"/>
        <w:widowControl w:val="0"/>
        <w:numPr>
          <w:ilvl w:val="0"/>
          <w:numId w:val="0"/>
        </w:numPr>
        <w:kinsoku/>
        <w:wordWrap/>
        <w:overflowPunct w:val="0"/>
        <w:topLinePunct w:val="0"/>
        <w:autoSpaceDE/>
        <w:autoSpaceDN/>
        <w:bidi w:val="0"/>
        <w:adjustRightInd/>
        <w:snapToGrid w:val="0"/>
        <w:spacing w:line="610" w:lineRule="exact"/>
        <w:ind w:firstLine="640"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二、行政事业性国有资产运营情况</w:t>
      </w:r>
    </w:p>
    <w:p w14:paraId="44998DDF">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0"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2023年，全县行政事业单位资产总额100.71亿元，负债总额30.12亿元,净资产70.59亿元。全县行政单位国有资产26.15亿元，事业单位国有资产74.56亿元。其中流动资产15.50亿元，固定资产净值18.10亿元，在建工程14.36亿元，无形资产1.01亿元，公共基础设施49.86亿元，政府储备物资0.03亿元，保障性住房0.99亿元，长期投资0.82亿元。</w:t>
      </w:r>
    </w:p>
    <w:p w14:paraId="26ABE334">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b/>
          <w:bCs/>
          <w:kern w:val="28"/>
          <w:sz w:val="32"/>
          <w:szCs w:val="21"/>
          <w:lang w:val="en-US" w:eastAsia="zh-CN"/>
        </w:rPr>
        <w:t>（一）健全行政事业性国有资产管理制度体系。</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持续推进行政事业单位国有资产管理配套制度建设，规范县乡（街道）行政事业单位国有资产处置行为，推动建立党政机关执法执勤用车管理长效机制。转发财政部公共基础设施、国有文物资源资产等管理办法。</w:t>
      </w:r>
    </w:p>
    <w:p w14:paraId="3A5FF1C8">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b/>
          <w:bCs/>
          <w:kern w:val="28"/>
          <w:sz w:val="32"/>
          <w:szCs w:val="21"/>
          <w:lang w:val="en-US" w:eastAsia="zh-CN"/>
        </w:rPr>
        <w:t>（二）夯实行政事业性国有资产管理基础。</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组织推动落实行政事业性资产信息标准，完善资产信息卡标准化管理体系。推进资产管理融入预算管理一体化，构建资产配置、使用、处置前后衔接，预算、政府采购、资产管理环环相扣的全链条闭环管理体系。</w:t>
      </w:r>
    </w:p>
    <w:p w14:paraId="2D20CED4">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b/>
          <w:bCs/>
          <w:kern w:val="28"/>
          <w:sz w:val="32"/>
          <w:szCs w:val="21"/>
          <w:lang w:val="en-US" w:eastAsia="zh-CN"/>
        </w:rPr>
        <w:t>（三）有力推进公共服务均等化。</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重点支持幼儿园、中小学新建及改扩建，利用闲置校舍，改造附属幼儿园，支持新建龙腾路、理学路小学及新区实验中学，支持县域普通高中改扩建和设备购置，有序扩大城镇学位供给，改善办学条件。均衡医疗卫生服务水平、保障和改善民生，建设县中医院新院区，提高医疗服务能力，改善医疗就医环境。改善城乡公共文化设施，完善公共文化服务体系。推动体育场馆、场地对社会公众开放。</w:t>
      </w:r>
    </w:p>
    <w:p w14:paraId="05C04241">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b/>
          <w:bCs/>
          <w:kern w:val="28"/>
          <w:sz w:val="32"/>
          <w:szCs w:val="21"/>
          <w:lang w:val="en-US" w:eastAsia="zh-CN"/>
        </w:rPr>
        <w:t>（四）盘活和节约使用行政事业性国有资产。</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以预算约束推动开放共享。落实调剂优先的配置原则，行政事业单位资产配置优先考虑闲置资产，实现资产跨单位、跨部门调剂共享，最大限度发挥资产使用效益。创新盘活利用方式，将县级行政事业单位闲置资产23处协议转让至伊川县晟源集团，提升国有资产效能。</w:t>
      </w:r>
    </w:p>
    <w:p w14:paraId="6965721A">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b/>
          <w:bCs/>
          <w:kern w:val="28"/>
          <w:sz w:val="32"/>
          <w:szCs w:val="21"/>
          <w:lang w:val="en-US" w:eastAsia="zh-CN"/>
        </w:rPr>
        <w:t>（五）强化国有资产主体责任意识。</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将国有资产管理纳入单位领导班子成员分工范围进行分工负责，配备专职人员负责资产管理工作，切实加强组织领导，强化产权意识责任意识，落实管理监督责任。</w:t>
      </w:r>
    </w:p>
    <w:p w14:paraId="12758284">
      <w:pPr>
        <w:pStyle w:val="2"/>
        <w:keepNext/>
        <w:keepLines w:val="0"/>
        <w:pageBreakBefore w:val="0"/>
        <w:widowControl w:val="0"/>
        <w:numPr>
          <w:ilvl w:val="0"/>
          <w:numId w:val="0"/>
        </w:numPr>
        <w:kinsoku/>
        <w:wordWrap/>
        <w:overflowPunct w:val="0"/>
        <w:topLinePunct w:val="0"/>
        <w:autoSpaceDE/>
        <w:autoSpaceDN/>
        <w:bidi w:val="0"/>
        <w:adjustRightInd/>
        <w:snapToGrid w:val="0"/>
        <w:spacing w:line="590" w:lineRule="exact"/>
        <w:ind w:firstLine="640"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三、国有自然资源资产情况</w:t>
      </w:r>
    </w:p>
    <w:p w14:paraId="122BB9BC">
      <w:pPr>
        <w:keepNext w:val="0"/>
        <w:keepLines w:val="0"/>
        <w:pageBreakBefore w:val="0"/>
        <w:widowControl w:val="0"/>
        <w:numPr>
          <w:ilvl w:val="0"/>
          <w:numId w:val="0"/>
        </w:numPr>
        <w:kinsoku/>
        <w:wordWrap/>
        <w:overflowPunct w:val="0"/>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截至2023年底，全县土地总面积105945.44公顷，其中耕地51840.59公顷；园地2977.65公顷；林地16307.55；草地4182.31公顷；湿地139.67公顷；水域用地2506.39公顷；建设用地20010.52公顷；城镇村及工矿用地17565.64公顷；交通运输用地1855.83公顷；水工建筑用地589.05公顷；其他用地7980.76公顷。</w:t>
      </w:r>
    </w:p>
    <w:p w14:paraId="59978334">
      <w:pPr>
        <w:keepNext w:val="0"/>
        <w:keepLines w:val="0"/>
        <w:pageBreakBefore w:val="0"/>
        <w:widowControl w:val="0"/>
        <w:numPr>
          <w:ilvl w:val="0"/>
          <w:numId w:val="0"/>
        </w:numPr>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b/>
          <w:bCs/>
          <w:kern w:val="28"/>
          <w:sz w:val="32"/>
          <w:szCs w:val="21"/>
          <w:lang w:val="en-US" w:eastAsia="zh-CN"/>
        </w:rPr>
        <w:t>（一）着力加强自然资源基础管理。</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统筹推进2022年度国土变更调查和各类自然资源专项调查，加快完成2023年城市国土空间监测初步成果。稳妥推进河南伊川伊河国家湿地公园确权登记和集体土地所有权更新汇交工作，推进不动产登记信息共享、流程优化、人员集成。持续推进“交房即发证”“交地即发证”工作。</w:t>
      </w:r>
    </w:p>
    <w:p w14:paraId="5B0F7000">
      <w:pPr>
        <w:keepNext w:val="0"/>
        <w:keepLines w:val="0"/>
        <w:pageBreakBefore w:val="0"/>
        <w:widowControl w:val="0"/>
        <w:numPr>
          <w:ilvl w:val="0"/>
          <w:numId w:val="0"/>
        </w:numPr>
        <w:kinsoku/>
        <w:wordWrap/>
        <w:overflowPunct w:val="0"/>
        <w:topLinePunct w:val="0"/>
        <w:autoSpaceDE/>
        <w:autoSpaceDN/>
        <w:bidi w:val="0"/>
        <w:adjustRightInd/>
        <w:snapToGrid/>
        <w:spacing w:line="59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b/>
          <w:bCs/>
          <w:kern w:val="28"/>
          <w:sz w:val="32"/>
          <w:szCs w:val="21"/>
          <w:lang w:val="en-US" w:eastAsia="zh-CN"/>
        </w:rPr>
        <w:t>（二）加快构建国土空间规划体系和用途管制制度。</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县级国土空间规划编制已形成初步成果报省厅批准，同步开展乡镇级国土空间规划编制和村庄规划编制，目前15个乡镇国土空间规划形成初步成果13个，367个行政村已有202个村庄编制村庄规划，规划体系进一步完善。坚持用足用好国家、省级用地要素保障政策，坚持土地要素跟着项目走，对省、市、县重点项目应保尽保。2023年度经上级批回建设用地25个批次，2341.76亩，批准使用集体建设用地386亩，有效保障了顺华重工、开发区利尔新材料、2025智能装备产业园等103个重点项目及乡村振兴产业项目、公共服务设施项目用地。</w:t>
      </w:r>
    </w:p>
    <w:p w14:paraId="1FB8AB58">
      <w:pPr>
        <w:keepNext w:val="0"/>
        <w:keepLines w:val="0"/>
        <w:pageBreakBefore w:val="0"/>
        <w:widowControl w:val="0"/>
        <w:numPr>
          <w:ilvl w:val="0"/>
          <w:numId w:val="0"/>
        </w:numPr>
        <w:kinsoku/>
        <w:wordWrap/>
        <w:overflowPunct w:val="0"/>
        <w:topLinePunct w:val="0"/>
        <w:autoSpaceDE/>
        <w:autoSpaceDN/>
        <w:bidi w:val="0"/>
        <w:adjustRightInd/>
        <w:snapToGrid/>
        <w:spacing w:line="64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b/>
          <w:bCs/>
          <w:kern w:val="28"/>
          <w:sz w:val="32"/>
          <w:szCs w:val="21"/>
          <w:lang w:val="en-US" w:eastAsia="zh-CN"/>
        </w:rPr>
        <w:t>（三）加大生态保护和修复力度。</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扎实开展伊川县山水林田湖草沙一体化保护和修复工程项目，截至2023年底，涉及伊川县4个项目的勘察设计招标工作均已完成，并全部进入施工阶段，累计完成绩效治理面积1077.05公顷。</w:t>
      </w:r>
    </w:p>
    <w:p w14:paraId="7DF53545">
      <w:pPr>
        <w:keepNext w:val="0"/>
        <w:keepLines w:val="0"/>
        <w:pageBreakBefore w:val="0"/>
        <w:widowControl w:val="0"/>
        <w:numPr>
          <w:ilvl w:val="0"/>
          <w:numId w:val="0"/>
        </w:numPr>
        <w:kinsoku/>
        <w:wordWrap/>
        <w:overflowPunct w:val="0"/>
        <w:topLinePunct w:val="0"/>
        <w:autoSpaceDE/>
        <w:autoSpaceDN/>
        <w:bidi w:val="0"/>
        <w:adjustRightInd/>
        <w:snapToGrid/>
        <w:spacing w:line="64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b/>
          <w:bCs/>
          <w:kern w:val="28"/>
          <w:sz w:val="32"/>
          <w:szCs w:val="21"/>
          <w:lang w:val="en-US" w:eastAsia="zh-CN"/>
        </w:rPr>
        <w:t>（四）强化自然资源保护和节约集约利用。</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落实和改进耕地占补平衡制度，深入开展耕地占补平衡专项整治行动和补充耕地项目备案入库工作，严格落实永久基本农田核实处置，2023年共处置永久基本农田8031.60亩，共补划11283.3亩，多补划基本农田4796.40亩，坚决遏制耕地“非农化”、防止“非粮化”。集约节约利用资源，加大对“三未土地”处置力度，2023年消化“批而未供”土地3547.02亩，完成率108.6%；处置“供而未用”闲置土地695.5亩，为新增项目、重点项目快速落地提供了坚强的要素保障。</w:t>
      </w:r>
    </w:p>
    <w:p w14:paraId="59442058">
      <w:pPr>
        <w:keepNext w:val="0"/>
        <w:keepLines w:val="0"/>
        <w:pageBreakBefore w:val="0"/>
        <w:widowControl w:val="0"/>
        <w:numPr>
          <w:ilvl w:val="0"/>
          <w:numId w:val="0"/>
        </w:numPr>
        <w:kinsoku/>
        <w:wordWrap/>
        <w:overflowPunct w:val="0"/>
        <w:topLinePunct w:val="0"/>
        <w:autoSpaceDE/>
        <w:autoSpaceDN/>
        <w:bidi w:val="0"/>
        <w:adjustRightInd/>
        <w:snapToGrid/>
        <w:spacing w:line="64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b/>
          <w:bCs/>
          <w:kern w:val="28"/>
          <w:sz w:val="32"/>
          <w:szCs w:val="21"/>
          <w:lang w:val="en-US" w:eastAsia="zh-CN"/>
        </w:rPr>
        <w:t>（五）持续推进自然资源法治建设。</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全力开展违法违规占用耕地专项治理行动。2023年省违法违规占用耕地专项整治专项行动下发我县893个图斑，经过举证、整改、补办用地手续及符合省专项办出台的相关政策暂时销号等方式，已全部清零。持续加强国家自然资源督察，深入开展耕地保护督察，2022年补充耕地督查下发我县问题图斑18个，移交省级问题线索图斑90个，全部完成在线督查系统的上报工作。</w:t>
      </w:r>
    </w:p>
    <w:p w14:paraId="71965F46">
      <w:pPr>
        <w:pStyle w:val="2"/>
        <w:keepNext w:val="0"/>
        <w:keepLines w:val="0"/>
        <w:pageBreakBefore w:val="0"/>
        <w:widowControl w:val="0"/>
        <w:numPr>
          <w:ilvl w:val="0"/>
          <w:numId w:val="0"/>
        </w:numPr>
        <w:kinsoku/>
        <w:wordWrap/>
        <w:overflowPunct w:val="0"/>
        <w:topLinePunct w:val="0"/>
        <w:autoSpaceDE/>
        <w:autoSpaceDN/>
        <w:bidi w:val="0"/>
        <w:adjustRightInd/>
        <w:snapToGrid w:val="0"/>
        <w:spacing w:line="580" w:lineRule="exact"/>
        <w:ind w:firstLine="640"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四、国有资产管理和运营存在的问题及原因</w:t>
      </w:r>
    </w:p>
    <w:p w14:paraId="5967CBB4">
      <w:pPr>
        <w:keepNext w:val="0"/>
        <w:keepLines w:val="0"/>
        <w:pageBreakBefore w:val="0"/>
        <w:widowControl w:val="0"/>
        <w:numPr>
          <w:ilvl w:val="0"/>
          <w:numId w:val="0"/>
        </w:numPr>
        <w:kinsoku/>
        <w:wordWrap/>
        <w:overflowPunct w:val="0"/>
        <w:topLinePunct w:val="0"/>
        <w:autoSpaceDE/>
        <w:autoSpaceDN/>
        <w:bidi w:val="0"/>
        <w:adjustRightInd/>
        <w:snapToGrid/>
        <w:spacing w:line="57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b/>
          <w:bCs/>
          <w:kern w:val="28"/>
          <w:sz w:val="32"/>
          <w:szCs w:val="21"/>
          <w:lang w:val="en-US" w:eastAsia="zh-CN"/>
        </w:rPr>
        <w:t>（一）市场化转型迟缓。</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县属国企业领导干部普遍存在从行政事业单位到企业任职，原单位保留人事手续，没有彻底脱离行政事业身份，企业行政化色彩依然浓厚，限制了企业发展，对企业市场化创新和经营管理思路不多，培育新的利润增长点市场化谋划不够、办法不多，依赖政府划拨实现资产增长。</w:t>
      </w:r>
    </w:p>
    <w:p w14:paraId="5A9F2248">
      <w:pPr>
        <w:keepNext w:val="0"/>
        <w:keepLines w:val="0"/>
        <w:pageBreakBefore w:val="0"/>
        <w:widowControl w:val="0"/>
        <w:numPr>
          <w:ilvl w:val="0"/>
          <w:numId w:val="0"/>
        </w:numPr>
        <w:kinsoku/>
        <w:wordWrap/>
        <w:overflowPunct w:val="0"/>
        <w:topLinePunct w:val="0"/>
        <w:autoSpaceDE/>
        <w:autoSpaceDN/>
        <w:bidi w:val="0"/>
        <w:adjustRightInd/>
        <w:snapToGrid/>
        <w:spacing w:line="57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b/>
          <w:bCs/>
          <w:kern w:val="28"/>
          <w:sz w:val="32"/>
          <w:szCs w:val="21"/>
          <w:lang w:val="en-US" w:eastAsia="zh-CN"/>
        </w:rPr>
        <w:t>（二）资产运营效率不高。</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企业前期注入公益性资产和储备土地较多，公益性资产比重较大，优质资产规模较小，以农村道路、饮水工程、污水治理工程、廊道绿化树木、公园的构建物、树木等公益性资产作为资本金注入，资产运营效率不高，资产回报率低。如，财源公司总资产规模184.50亿元，其中公益性资产占公司净资产52.77%。又如：公交、驾校等公益事业板块运营能力较弱，短期内很难形成新的经济增长点，仍然依靠政府“输血”来维持运营。</w:t>
      </w:r>
    </w:p>
    <w:p w14:paraId="36C7C9DC">
      <w:pPr>
        <w:keepNext w:val="0"/>
        <w:keepLines w:val="0"/>
        <w:pageBreakBefore w:val="0"/>
        <w:widowControl w:val="0"/>
        <w:numPr>
          <w:ilvl w:val="0"/>
          <w:numId w:val="0"/>
        </w:numPr>
        <w:kinsoku/>
        <w:wordWrap/>
        <w:overflowPunct w:val="0"/>
        <w:topLinePunct w:val="0"/>
        <w:autoSpaceDE/>
        <w:autoSpaceDN/>
        <w:bidi w:val="0"/>
        <w:adjustRightInd/>
        <w:snapToGrid/>
        <w:spacing w:line="57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楷体_GB2312" w:cs="Times New Roman"/>
          <w:b/>
          <w:bCs/>
          <w:kern w:val="28"/>
          <w:sz w:val="32"/>
          <w:szCs w:val="21"/>
          <w:lang w:val="en-US" w:eastAsia="zh-CN"/>
        </w:rPr>
        <w:t>（三）企业运营困难。</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企业承接政府性工程项目投资比重较大，公益性和盈利性项目占比大，资金回笼慢，公司现金流少，营收能力弱，接收脱钩改制企业历史包袱沉重，人员包袱大，导致企业发展动能乏力。如：城乡供排水一体化项目、黄河流域生态保护、乡村振兴建设项目等投入大，回款慢、盈利少，有些甚至没有收益。</w:t>
      </w:r>
    </w:p>
    <w:p w14:paraId="2A9FDF44">
      <w:pPr>
        <w:keepNext w:val="0"/>
        <w:keepLines w:val="0"/>
        <w:pageBreakBefore w:val="0"/>
        <w:widowControl w:val="0"/>
        <w:numPr>
          <w:ilvl w:val="0"/>
          <w:numId w:val="0"/>
        </w:numPr>
        <w:kinsoku/>
        <w:wordWrap/>
        <w:overflowPunct w:val="0"/>
        <w:topLinePunct w:val="0"/>
        <w:autoSpaceDE/>
        <w:autoSpaceDN/>
        <w:bidi w:val="0"/>
        <w:adjustRightInd/>
        <w:snapToGrid/>
        <w:spacing w:line="570" w:lineRule="exact"/>
        <w:ind w:firstLine="640"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五、推进国企改革改进工作安排和建议</w:t>
      </w:r>
    </w:p>
    <w:p w14:paraId="0DE1447C">
      <w:pPr>
        <w:keepNext w:val="0"/>
        <w:keepLines w:val="0"/>
        <w:pageBreakBefore w:val="0"/>
        <w:widowControl w:val="0"/>
        <w:numPr>
          <w:ilvl w:val="0"/>
          <w:numId w:val="0"/>
        </w:numPr>
        <w:kinsoku/>
        <w:wordWrap/>
        <w:overflowPunct w:val="0"/>
        <w:topLinePunct w:val="0"/>
        <w:autoSpaceDE/>
        <w:autoSpaceDN/>
        <w:bidi w:val="0"/>
        <w:adjustRightInd/>
        <w:snapToGrid/>
        <w:spacing w:line="570" w:lineRule="exact"/>
        <w:ind w:firstLine="643" w:firstLineChars="200"/>
        <w:textAlignment w:val="auto"/>
        <w:rPr>
          <w:rFonts w:hint="default" w:ascii="Times New Roman" w:hAnsi="Times New Roman" w:eastAsia="楷体_GB2312" w:cs="Times New Roman"/>
          <w:b/>
          <w:bCs/>
          <w:lang w:val="en-US" w:eastAsia="zh-CN"/>
        </w:rPr>
      </w:pPr>
      <w:r>
        <w:rPr>
          <w:rFonts w:hint="default" w:ascii="Times New Roman" w:hAnsi="Times New Roman" w:eastAsia="楷体_GB2312" w:cs="Times New Roman"/>
          <w:b/>
          <w:bCs/>
          <w:lang w:val="en-US" w:eastAsia="zh-CN"/>
        </w:rPr>
        <w:t>（一）2024年国企改革工作安排</w:t>
      </w:r>
    </w:p>
    <w:p w14:paraId="73DF079C">
      <w:pPr>
        <w:keepNext w:val="0"/>
        <w:keepLines w:val="0"/>
        <w:pageBreakBefore w:val="0"/>
        <w:widowControl w:val="0"/>
        <w:numPr>
          <w:ilvl w:val="0"/>
          <w:numId w:val="0"/>
        </w:numPr>
        <w:kinsoku/>
        <w:wordWrap/>
        <w:overflowPunct w:val="0"/>
        <w:topLinePunct w:val="0"/>
        <w:autoSpaceDE/>
        <w:autoSpaceDN/>
        <w:bidi w:val="0"/>
        <w:adjustRightInd/>
        <w:snapToGrid/>
        <w:spacing w:line="57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val="0"/>
          <w:color w:val="000000" w:themeColor="text1"/>
          <w:sz w:val="32"/>
          <w:szCs w:val="32"/>
          <w:lang w:val="en-US" w:eastAsia="zh-CN"/>
          <w14:textFill>
            <w14:solidFill>
              <w14:schemeClr w14:val="tx1"/>
            </w14:solidFill>
          </w14:textFill>
        </w:rPr>
        <w:t>1.持续深化国资国企改革。</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深化国有企业分类改革，加快建立灵活高效的市场化经营机制。完善国有资产监督管理体制，加快推进经营性国有资产集中统一监管。</w:t>
      </w:r>
    </w:p>
    <w:p w14:paraId="7A934F5C">
      <w:pPr>
        <w:pStyle w:val="13"/>
        <w:keepLines w:val="0"/>
        <w:pageBreakBefore w:val="0"/>
        <w:widowControl w:val="0"/>
        <w:kinsoku/>
        <w:wordWrap/>
        <w:overflowPunct w:val="0"/>
        <w:topLinePunct w:val="0"/>
        <w:autoSpaceDE/>
        <w:autoSpaceDN/>
        <w:bidi w:val="0"/>
        <w:adjustRightInd/>
        <w:spacing w:after="0" w:line="610" w:lineRule="exact"/>
        <w:ind w:firstLine="643" w:firstLineChars="200"/>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val="0"/>
          <w:color w:val="000000" w:themeColor="text1"/>
          <w:kern w:val="2"/>
          <w:sz w:val="32"/>
          <w:szCs w:val="32"/>
          <w:lang w:val="en-US" w:eastAsia="zh-CN"/>
          <w14:textFill>
            <w14:solidFill>
              <w14:schemeClr w14:val="tx1"/>
            </w14:solidFill>
          </w14:textFill>
        </w:rPr>
        <w:t>2.支持政策，完善服务。</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逐一对照检查落实中央、省、市和我县出台的相关政策，完善资产管理、资产处置、资本运营等政策措施。加强各部门协同配合，服务企业有效解决政策难题。</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023年6月，中办国办联合印发《国有企业改革深化提升行动方案(2023-2025年)》，10月省委、省政府印发《河南省国有企业改革深化提升行动实施方案(2023—2025年)》，为我市实施国企改革深化提升行动提供了科学指引和政策支持。12月市委经济工作会议，明确提出要巩固国企改革三年行动成果，实施新一轮国企改革深化提升行动。</w:t>
      </w:r>
      <w:r>
        <w:rPr>
          <w:rFonts w:hint="default" w:ascii="Times New Roman" w:hAnsi="Times New Roman" w:eastAsia="仿宋_GB2312" w:cs="Times New Roman"/>
          <w:sz w:val="32"/>
          <w:szCs w:val="32"/>
          <w:lang w:val="en-US" w:eastAsia="zh-CN"/>
        </w:rPr>
        <w:t>建议我县要</w:t>
      </w:r>
      <w:r>
        <w:rPr>
          <w:rFonts w:hint="default" w:ascii="Times New Roman" w:hAnsi="Times New Roman" w:eastAsia="仿宋_GB2312" w:cs="Times New Roman"/>
          <w:sz w:val="32"/>
          <w:szCs w:val="32"/>
        </w:rPr>
        <w:t>抓好服务国家战略为导向的功能使命性改革和以更好实现企业市场化运营为目的的体制机制改革，提升转型发展能力、提升国资监管能力、提升协同发展能力</w:t>
      </w:r>
      <w:r>
        <w:rPr>
          <w:rFonts w:hint="default" w:ascii="Times New Roman" w:hAnsi="Times New Roman" w:eastAsia="仿宋_GB2312" w:cs="Times New Roman"/>
          <w:sz w:val="32"/>
          <w:szCs w:val="32"/>
          <w:lang w:eastAsia="zh-CN"/>
        </w:rPr>
        <w:t>。</w:t>
      </w:r>
    </w:p>
    <w:p w14:paraId="2CFE8D52">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val="0"/>
          <w:color w:val="000000" w:themeColor="text1"/>
          <w:sz w:val="32"/>
          <w:szCs w:val="32"/>
          <w:lang w:val="en-US" w:eastAsia="zh-CN"/>
          <w14:textFill>
            <w14:solidFill>
              <w14:schemeClr w14:val="tx1"/>
            </w14:solidFill>
          </w14:textFill>
        </w:rPr>
        <w:t>3.强化国有资产管理，提高国资运维能力。</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一是加强国企业务指导，督导落实，组织我县国企按照各自职能，统筹推进企业产权结构、组织结构、治理结构改革，优化股权结构、转换经营机制、完善法人治理，增强企业活力。稳妥稳步推进我县国企改革、国资监督管理工作，促使各项任务及目标落到实处。二是整合现有资源资产，打造能为我县输血、造血的经济航母；切实履行好“管人”与“管事”相结合的双重职能，使国资管理成为全新的、真正意义上的“责权统一、奖罚分明、科学分工、有效制衡”的专职出资人机构。三是统筹国有资本战略布局，完善以管资本为主的国资监管体制，进一步增强国有经济竞争力、创新力、控制力、影响力和抗风险能力，切实发挥国有企业在全县经济发展中的带动作用。</w:t>
      </w:r>
    </w:p>
    <w:p w14:paraId="036D573E">
      <w:pPr>
        <w:pStyle w:val="2"/>
        <w:keepNext/>
        <w:keepLines w:val="0"/>
        <w:pageBreakBefore w:val="0"/>
        <w:widowControl w:val="0"/>
        <w:numPr>
          <w:ilvl w:val="0"/>
          <w:numId w:val="0"/>
        </w:numPr>
        <w:kinsoku/>
        <w:wordWrap/>
        <w:overflowPunct w:val="0"/>
        <w:topLinePunct w:val="0"/>
        <w:autoSpaceDE/>
        <w:autoSpaceDN/>
        <w:bidi w:val="0"/>
        <w:adjustRightInd/>
        <w:snapToGrid w:val="0"/>
        <w:spacing w:line="610" w:lineRule="exact"/>
        <w:ind w:firstLine="643" w:firstLineChars="200"/>
        <w:textAlignment w:val="auto"/>
        <w:rPr>
          <w:rFonts w:hint="default" w:ascii="Times New Roman" w:hAnsi="Times New Roman" w:eastAsia="楷体_GB2312" w:cs="Times New Roman"/>
          <w:b/>
          <w:bCs/>
          <w:lang w:val="en-US" w:eastAsia="zh-CN"/>
        </w:rPr>
      </w:pPr>
      <w:r>
        <w:rPr>
          <w:rFonts w:hint="default" w:ascii="Times New Roman" w:hAnsi="Times New Roman" w:eastAsia="楷体_GB2312" w:cs="Times New Roman"/>
          <w:b/>
          <w:bCs/>
          <w:lang w:val="en-US" w:eastAsia="zh-CN"/>
        </w:rPr>
        <w:t>（二）建议</w:t>
      </w:r>
    </w:p>
    <w:p w14:paraId="4254728B">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sz w:val="32"/>
          <w:szCs w:val="32"/>
          <w:lang w:val="en-US" w:eastAsia="zh-CN"/>
        </w:rPr>
        <w:t>1.持续抓好营收工作。</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一是围绕经济工作主线，持续提升公司营收能力，在做强做大建筑主业的基础上，依托现有的贸易公司，建立公司大宗物资材料集中购销平台，做强做大公司贸易板块，增加公司现金收入。二是依托华晟物流园项目，做好大宗商品贸易、物流业务，增加公司收入，快速实现公司现金流的增加。三是对公交公司、阔达驾校等公益性企业进行市场化改制，通过人员身份转变、年度经济指标倒逼机制，激发企业经营活力和主观能动性，逐步实现扭亏为盈的目标。四是利用资源禀赋条件，紧盯县域内屋顶光伏、新能源充电桩、矿山资源开发等业务，向政府争取特许经营权，给公司带来稳定的运营收入和现金流。</w:t>
      </w:r>
    </w:p>
    <w:p w14:paraId="143B6DC8">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sz w:val="32"/>
          <w:szCs w:val="32"/>
          <w:lang w:val="en-US" w:eastAsia="zh-CN"/>
        </w:rPr>
        <w:t>2.聚焦产业投资。</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充分发挥产业投资公司作用，紧盯洛阳市、县风口产业及高成长型企业，利用基金、自有资金以及公司掌握的土地等优质资源，从城市基础设施一头沉的业务布局向产业投资转型。加快推进与上市公司扬杰科技实施的5英寸玻璃钝化项目以及与国宏集团合作的洛阳热表产业园项目，尽快建成投产见效。</w:t>
      </w:r>
    </w:p>
    <w:p w14:paraId="6FEA8549">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sz w:val="32"/>
          <w:szCs w:val="32"/>
          <w:lang w:val="en-US" w:eastAsia="zh-CN"/>
        </w:rPr>
        <w:t>3.保障融资需求。</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不断加强政企、银企、企企合作，积极与国开行、农发行对接，解决王庄棚改、产业园二期建设、华晟物流园二期建设等项目资金问题。同时，研究政府专项债路径，谋划包装我县城区开发、文旅项目和教育集团项目。结合最新出台的金融政策，不断加强学习交流，针对政策支持的城镇化建设项目，密切跟进，深入研判，利用平台公司优势，多渠道寻找融资路径，解决城镇化建设项目资金瓶颈问题，支持好城市建设。</w:t>
      </w:r>
    </w:p>
    <w:p w14:paraId="5F403E4B">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3"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
          <w:bCs/>
          <w:sz w:val="32"/>
          <w:szCs w:val="32"/>
          <w:lang w:val="en-US" w:eastAsia="zh-CN"/>
        </w:rPr>
        <w:t>4.提升企业市场化运作能力。</w:t>
      </w: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不断强化内部管理，采用教育培训、外出学习、人才引进等形式，不断为企业注入新鲜元素，拓宽企业员工思路，提高团队整体素质，积极适应新形势、新任务。结合县“十四五”发展规划，以市场化方式积极参与县域经济发展，围绕中心镇建设、乡村振兴、土地收储等工作谋篇布局，聚焦一些市场前景好、发展趋势好的产业项目，通过项目投资和建设实现公司营收，为县域经济发展贡献城投力量。</w:t>
      </w:r>
    </w:p>
    <w:p w14:paraId="5E53D286">
      <w:pPr>
        <w:pStyle w:val="2"/>
        <w:keepNext/>
        <w:keepLines w:val="0"/>
        <w:pageBreakBefore w:val="0"/>
        <w:widowControl w:val="0"/>
        <w:numPr>
          <w:ilvl w:val="0"/>
          <w:numId w:val="0"/>
        </w:numPr>
        <w:kinsoku/>
        <w:wordWrap/>
        <w:overflowPunct w:val="0"/>
        <w:topLinePunct w:val="0"/>
        <w:autoSpaceDE/>
        <w:autoSpaceDN/>
        <w:bidi w:val="0"/>
        <w:adjustRightInd/>
        <w:snapToGrid w:val="0"/>
        <w:spacing w:line="610" w:lineRule="exact"/>
        <w:ind w:firstLine="640" w:firstLineChars="200"/>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六、人大监督、审计监督发现的问题整改落实及问责情况。</w:t>
      </w:r>
    </w:p>
    <w:p w14:paraId="48B9E198">
      <w:pPr>
        <w:keepNext w:val="0"/>
        <w:keepLines w:val="0"/>
        <w:pageBreakBefore w:val="0"/>
        <w:widowControl w:val="0"/>
        <w:numPr>
          <w:ilvl w:val="0"/>
          <w:numId w:val="0"/>
        </w:numPr>
        <w:kinsoku/>
        <w:wordWrap/>
        <w:overflowPunct w:val="0"/>
        <w:topLinePunct w:val="0"/>
        <w:autoSpaceDE/>
        <w:autoSpaceDN/>
        <w:bidi w:val="0"/>
        <w:adjustRightInd/>
        <w:snapToGrid/>
        <w:spacing w:line="610" w:lineRule="exact"/>
        <w:ind w:firstLine="640"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t>按照《关于伊川县2022年度国有资产国有资产管理情况综合报告》（伊人常【2023】31号）我局出台了《伊川县财政局关于进一步做好行政事业性国有资产管理的通知》（伊财【2023】87号），对审议意见进行整改落实工作。一是完善行政事业性国有资产管理制度体系，推进资产管理提质增效，强化国有资产管理意识，依法依规履行出资人职责，专司国有资产监管。推动国有资产盘活利用，建立长期低效运转和闲置资产调剂共享机制。二是以创新监管方式、章程管理、加强风险防控、规范财务管理、实行稽查制度，改进了监管方式和方法。完善国有资产报告制度体系，推动国有资产监督迈上新台阶。提升国有资产报告信息化水平，建立地方国有资产报告工作绩效评价机制。深化国有资产审计工作，推进各类监督协同贯通。</w:t>
      </w:r>
    </w:p>
    <w:p w14:paraId="4F056D3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000000" w:themeColor="text1"/>
          <w:sz w:val="32"/>
          <w:szCs w:val="32"/>
          <w:lang w:val="en-US" w:eastAsia="zh-CN"/>
          <w14:textFill>
            <w14:solidFill>
              <w14:schemeClr w14:val="tx1"/>
            </w14:solidFill>
          </w14:textFill>
        </w:rPr>
      </w:pPr>
    </w:p>
    <w:sectPr>
      <w:footerReference r:id="rId5" w:type="default"/>
      <w:pgSz w:w="11906" w:h="16838"/>
      <w:pgMar w:top="1701" w:right="1474" w:bottom="1984" w:left="1474"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大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4C2BD5">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2ED5AC">
                          <w:pPr>
                            <w:pStyle w:val="6"/>
                            <w:rPr>
                              <w:b/>
                              <w:bCs/>
                              <w:sz w:val="28"/>
                              <w:szCs w:val="28"/>
                            </w:rPr>
                          </w:pPr>
                          <w:r>
                            <w:rPr>
                              <w:b/>
                              <w:bCs/>
                              <w:sz w:val="28"/>
                              <w:szCs w:val="28"/>
                            </w:rPr>
                            <w:fldChar w:fldCharType="begin"/>
                          </w:r>
                          <w:r>
                            <w:rPr>
                              <w:b/>
                              <w:bCs/>
                              <w:sz w:val="28"/>
                              <w:szCs w:val="28"/>
                            </w:rPr>
                            <w:instrText xml:space="preserve"> PAGE  \* MERGEFORMAT </w:instrText>
                          </w:r>
                          <w:r>
                            <w:rPr>
                              <w:b/>
                              <w:bCs/>
                              <w:sz w:val="28"/>
                              <w:szCs w:val="28"/>
                            </w:rPr>
                            <w:fldChar w:fldCharType="separate"/>
                          </w:r>
                          <w:r>
                            <w:rPr>
                              <w:b/>
                              <w:bCs/>
                              <w:sz w:val="28"/>
                              <w:szCs w:val="28"/>
                            </w:rPr>
                            <w:t>- 1 -</w:t>
                          </w:r>
                          <w:r>
                            <w:rPr>
                              <w:b/>
                              <w:bCs/>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A2ED5AC">
                    <w:pPr>
                      <w:pStyle w:val="6"/>
                      <w:rPr>
                        <w:b/>
                        <w:bCs/>
                        <w:sz w:val="28"/>
                        <w:szCs w:val="28"/>
                      </w:rPr>
                    </w:pPr>
                    <w:r>
                      <w:rPr>
                        <w:b/>
                        <w:bCs/>
                        <w:sz w:val="28"/>
                        <w:szCs w:val="28"/>
                      </w:rPr>
                      <w:fldChar w:fldCharType="begin"/>
                    </w:r>
                    <w:r>
                      <w:rPr>
                        <w:b/>
                        <w:bCs/>
                        <w:sz w:val="28"/>
                        <w:szCs w:val="28"/>
                      </w:rPr>
                      <w:instrText xml:space="preserve"> PAGE  \* MERGEFORMAT </w:instrText>
                    </w:r>
                    <w:r>
                      <w:rPr>
                        <w:b/>
                        <w:bCs/>
                        <w:sz w:val="28"/>
                        <w:szCs w:val="28"/>
                      </w:rPr>
                      <w:fldChar w:fldCharType="separate"/>
                    </w:r>
                    <w:r>
                      <w:rPr>
                        <w:b/>
                        <w:bCs/>
                        <w:sz w:val="28"/>
                        <w:szCs w:val="28"/>
                      </w:rPr>
                      <w:t>- 1 -</w:t>
                    </w:r>
                    <w:r>
                      <w:rPr>
                        <w:b/>
                        <w:bCs/>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1ZWQ4NWRiYjdkNDg5ZWVmODBkNTQ2NmJkYzFjN2MifQ=="/>
  </w:docVars>
  <w:rsids>
    <w:rsidRoot w:val="00000000"/>
    <w:rsid w:val="04626F5F"/>
    <w:rsid w:val="05F51C16"/>
    <w:rsid w:val="061E6C4C"/>
    <w:rsid w:val="0CD27881"/>
    <w:rsid w:val="20171383"/>
    <w:rsid w:val="2C1F1A48"/>
    <w:rsid w:val="35A05691"/>
    <w:rsid w:val="38202AE8"/>
    <w:rsid w:val="3AB93C76"/>
    <w:rsid w:val="3BB77F4E"/>
    <w:rsid w:val="42C830B2"/>
    <w:rsid w:val="48084243"/>
    <w:rsid w:val="4AC3209E"/>
    <w:rsid w:val="5C2967E2"/>
    <w:rsid w:val="5D5C030C"/>
    <w:rsid w:val="5D7326BE"/>
    <w:rsid w:val="5F911166"/>
    <w:rsid w:val="615D63AB"/>
    <w:rsid w:val="78A044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7"/>
    <w:autoRedefine/>
    <w:qFormat/>
    <w:uiPriority w:val="0"/>
    <w:pPr>
      <w:widowControl w:val="0"/>
      <w:spacing w:line="600" w:lineRule="exact"/>
      <w:ind w:firstLine="880" w:firstLineChars="200"/>
      <w:jc w:val="both"/>
    </w:pPr>
    <w:rPr>
      <w:rFonts w:ascii="Times New Roman" w:hAnsi="Times New Roman" w:eastAsia="仿宋_GB2312" w:cstheme="minorBidi"/>
      <w:kern w:val="2"/>
      <w:sz w:val="32"/>
      <w:lang w:val="en-US" w:eastAsia="zh-CN"/>
    </w:rPr>
  </w:style>
  <w:style w:type="paragraph" w:styleId="2">
    <w:name w:val="heading 1"/>
    <w:basedOn w:val="1"/>
    <w:next w:val="1"/>
    <w:autoRedefine/>
    <w:qFormat/>
    <w:uiPriority w:val="0"/>
    <w:pPr>
      <w:keepNext/>
      <w:keepLines/>
      <w:adjustRightInd/>
      <w:snapToGrid w:val="0"/>
      <w:spacing w:line="600" w:lineRule="exact"/>
      <w:ind w:left="0" w:firstLine="0"/>
      <w:outlineLvl w:val="0"/>
    </w:pPr>
    <w:rPr>
      <w:rFonts w:ascii="宋体" w:hAnsi="宋体" w:eastAsia="黑体" w:cs="Arial"/>
      <w:kern w:val="28"/>
      <w:szCs w:val="21"/>
    </w:rPr>
  </w:style>
  <w:style w:type="paragraph" w:styleId="3">
    <w:name w:val="heading 2"/>
    <w:basedOn w:val="1"/>
    <w:next w:val="1"/>
    <w:autoRedefine/>
    <w:unhideWhenUsed/>
    <w:qFormat/>
    <w:uiPriority w:val="0"/>
    <w:pPr>
      <w:spacing w:before="0" w:beforeAutospacing="0" w:after="0" w:afterAutospacing="0"/>
      <w:jc w:val="left"/>
      <w:outlineLvl w:val="1"/>
    </w:pPr>
    <w:rPr>
      <w:rFonts w:hint="eastAsia" w:ascii="宋体" w:hAnsi="宋体" w:eastAsia="楷体_GB2312" w:cs="宋体"/>
      <w:b/>
      <w:kern w:val="0"/>
      <w:sz w:val="32"/>
      <w:szCs w:val="36"/>
      <w:lang w:bidi="ar"/>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Body Text"/>
    <w:basedOn w:val="1"/>
    <w:next w:val="5"/>
    <w:autoRedefine/>
    <w:qFormat/>
    <w:uiPriority w:val="0"/>
    <w:pPr>
      <w:widowControl w:val="0"/>
      <w:jc w:val="both"/>
    </w:pPr>
    <w:rPr>
      <w:rFonts w:ascii="Calibri" w:hAnsi="Calibri" w:eastAsia="宋体"/>
      <w:kern w:val="2"/>
      <w:sz w:val="21"/>
      <w:szCs w:val="24"/>
    </w:rPr>
  </w:style>
  <w:style w:type="paragraph" w:customStyle="1" w:styleId="5">
    <w:name w:val="Body Text 21"/>
    <w:basedOn w:val="1"/>
    <w:autoRedefine/>
    <w:qFormat/>
    <w:uiPriority w:val="0"/>
    <w:pPr>
      <w:spacing w:after="120" w:line="480" w:lineRule="auto"/>
    </w:pPr>
    <w:rPr>
      <w:rFonts w:ascii="Calibri" w:hAnsi="Calibri" w:eastAsia="宋体" w:cs="Times New Roman"/>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autoRedefine/>
    <w:qFormat/>
    <w:uiPriority w:val="0"/>
    <w:rPr>
      <w:b/>
    </w:rPr>
  </w:style>
  <w:style w:type="paragraph" w:customStyle="1" w:styleId="12">
    <w:name w:val="BodyText"/>
    <w:basedOn w:val="1"/>
    <w:next w:val="13"/>
    <w:autoRedefine/>
    <w:qFormat/>
    <w:uiPriority w:val="0"/>
    <w:pPr>
      <w:jc w:val="both"/>
      <w:textAlignment w:val="baseline"/>
    </w:pPr>
  </w:style>
  <w:style w:type="paragraph" w:customStyle="1" w:styleId="13">
    <w:name w:val="UserStyle_0"/>
    <w:basedOn w:val="1"/>
    <w:next w:val="14"/>
    <w:autoRedefine/>
    <w:qFormat/>
    <w:uiPriority w:val="0"/>
    <w:pPr>
      <w:spacing w:after="0"/>
      <w:ind w:firstLine="420" w:firstLineChars="200"/>
      <w:jc w:val="both"/>
      <w:textAlignment w:val="baseline"/>
    </w:pPr>
    <w:rPr>
      <w:rFonts w:ascii="Calibri" w:hAnsi="Calibri" w:eastAsia="宋体"/>
      <w:kern w:val="2"/>
      <w:sz w:val="21"/>
      <w:szCs w:val="22"/>
      <w:lang w:val="en-US" w:eastAsia="zh-CN" w:bidi="ar-SA"/>
    </w:rPr>
  </w:style>
  <w:style w:type="paragraph" w:customStyle="1" w:styleId="14">
    <w:name w:val="UserStyle_1"/>
    <w:next w:val="1"/>
    <w:autoRedefine/>
    <w:qFormat/>
    <w:uiPriority w:val="0"/>
    <w:pPr>
      <w:textAlignment w:val="baseline"/>
    </w:pPr>
    <w:rPr>
      <w:rFonts w:ascii="宋体" w:hAnsi="宋体" w:eastAsia="宋体" w:cs="Times New Roman"/>
      <w:sz w:val="32"/>
      <w:lang w:val="en-US" w:eastAsia="zh-CN" w:bidi="ar-SA"/>
    </w:rPr>
  </w:style>
  <w:style w:type="character" w:customStyle="1" w:styleId="15">
    <w:name w:val="font51"/>
    <w:basedOn w:val="10"/>
    <w:qFormat/>
    <w:uiPriority w:val="0"/>
    <w:rPr>
      <w:rFonts w:hint="eastAsia" w:ascii="宋体" w:hAnsi="宋体" w:eastAsia="宋体" w:cs="宋体"/>
      <w:color w:val="000000"/>
      <w:sz w:val="20"/>
      <w:szCs w:val="20"/>
      <w:u w:val="none"/>
    </w:rPr>
  </w:style>
  <w:style w:type="paragraph" w:customStyle="1" w:styleId="16">
    <w:name w:val="UserStyle_4"/>
    <w:basedOn w:val="1"/>
    <w:autoRedefine/>
    <w:qFormat/>
    <w:uiPriority w:val="0"/>
    <w:pPr>
      <w:spacing w:after="160" w:line="446" w:lineRule="auto"/>
      <w:ind w:firstLine="400"/>
      <w:jc w:val="both"/>
      <w:textAlignment w:val="baseline"/>
    </w:pPr>
    <w:rPr>
      <w:rFonts w:ascii="宋体" w:hAnsi="宋体" w:eastAsia="宋体"/>
      <w:color w:val="666666"/>
      <w:kern w:val="2"/>
      <w:sz w:val="18"/>
      <w:szCs w:val="18"/>
      <w:lang w:val="zh-TW" w:eastAsia="zh-TW" w:bidi="zh-TW"/>
    </w:rPr>
  </w:style>
  <w:style w:type="character" w:customStyle="1" w:styleId="17">
    <w:name w:val="NormalCharacter"/>
    <w:link w:val="1"/>
    <w:autoRedefine/>
    <w:qFormat/>
    <w:uiPriority w:val="0"/>
    <w:rPr>
      <w:rFonts w:ascii="Times New Roman" w:hAnsi="Times New Roman" w:eastAsia="仿宋_GB2312" w:cstheme="minorBidi"/>
      <w:kern w:val="2"/>
      <w:sz w:val="32"/>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7408</Words>
  <Characters>7926</Characters>
  <Lines>0</Lines>
  <Paragraphs>0</Paragraphs>
  <TotalTime>32</TotalTime>
  <ScaleCrop>false</ScaleCrop>
  <LinksUpToDate>false</LinksUpToDate>
  <CharactersWithSpaces>7930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2024-12-04T08:38:12Z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2BB203DB15E24559B68D755AF7AD1A37_13</vt:lpwstr>
  </property>
</Properties>
</file>