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color w:val="auto"/>
          <w:highlight w:val="none"/>
        </w:rPr>
      </w:pPr>
    </w:p>
    <w:p>
      <w:pPr>
        <w:jc w:val="center"/>
        <w:rPr>
          <w:color w:val="auto"/>
          <w:highlight w:val="none"/>
        </w:rPr>
      </w:pPr>
    </w:p>
    <w:p>
      <w:pPr>
        <w:jc w:val="center"/>
        <w:rPr>
          <w:rFonts w:hint="eastAsia" w:ascii="黑体" w:hAnsi="黑体" w:eastAsia="黑体" w:cs="黑体"/>
          <w:b/>
          <w:color w:val="auto"/>
          <w:sz w:val="52"/>
          <w:szCs w:val="52"/>
          <w:highlight w:val="none"/>
          <w:lang w:eastAsia="zh-CN"/>
        </w:rPr>
      </w:pPr>
    </w:p>
    <w:p>
      <w:pPr>
        <w:jc w:val="center"/>
        <w:rPr>
          <w:rFonts w:hint="eastAsia" w:ascii="黑体" w:hAnsi="黑体" w:eastAsia="黑体" w:cs="黑体"/>
          <w:b/>
          <w:color w:val="auto"/>
          <w:sz w:val="52"/>
          <w:szCs w:val="52"/>
          <w:highlight w:val="none"/>
          <w:lang w:eastAsia="zh-CN"/>
        </w:rPr>
      </w:pPr>
      <w:r>
        <w:rPr>
          <w:rFonts w:hint="eastAsia" w:ascii="黑体" w:hAnsi="黑体" w:eastAsia="黑体" w:cs="黑体"/>
          <w:b/>
          <w:color w:val="auto"/>
          <w:sz w:val="52"/>
          <w:szCs w:val="52"/>
          <w:highlight w:val="none"/>
          <w:lang w:eastAsia="zh-CN"/>
        </w:rPr>
        <w:t>伊川县市场监督管理局</w:t>
      </w:r>
    </w:p>
    <w:p>
      <w:pPr>
        <w:jc w:val="center"/>
        <w:rPr>
          <w:rFonts w:hint="eastAsia" w:ascii="黑体" w:hAnsi="黑体" w:eastAsia="黑体" w:cs="黑体"/>
          <w:b/>
          <w:color w:val="auto"/>
          <w:sz w:val="52"/>
          <w:szCs w:val="52"/>
          <w:highlight w:val="none"/>
          <w:lang w:val="en-US" w:eastAsia="zh-CN"/>
        </w:rPr>
      </w:pPr>
      <w:r>
        <w:rPr>
          <w:rFonts w:hint="eastAsia" w:ascii="黑体" w:hAnsi="黑体" w:eastAsia="黑体" w:cs="黑体"/>
          <w:b/>
          <w:color w:val="auto"/>
          <w:sz w:val="52"/>
          <w:szCs w:val="52"/>
          <w:highlight w:val="none"/>
          <w:lang w:val="en-US" w:eastAsia="zh-CN"/>
        </w:rPr>
        <w:t>2022</w:t>
      </w:r>
      <w:r>
        <w:rPr>
          <w:rFonts w:hint="eastAsia" w:ascii="黑体" w:hAnsi="黑体" w:eastAsia="黑体" w:cs="黑体"/>
          <w:b/>
          <w:color w:val="auto"/>
          <w:sz w:val="52"/>
          <w:szCs w:val="52"/>
          <w:highlight w:val="none"/>
        </w:rPr>
        <w:t>年食品安全监督抽检</w:t>
      </w:r>
      <w:r>
        <w:rPr>
          <w:rFonts w:hint="eastAsia" w:ascii="黑体" w:hAnsi="黑体" w:eastAsia="黑体" w:cs="黑体"/>
          <w:b/>
          <w:color w:val="auto"/>
          <w:sz w:val="52"/>
          <w:szCs w:val="52"/>
          <w:highlight w:val="none"/>
          <w:lang w:val="en-US" w:eastAsia="zh-CN"/>
        </w:rPr>
        <w:t>2405批次</w:t>
      </w:r>
    </w:p>
    <w:p>
      <w:pPr>
        <w:jc w:val="center"/>
        <w:rPr>
          <w:rFonts w:hint="eastAsia" w:ascii="黑体" w:hAnsi="黑体" w:eastAsia="黑体" w:cs="黑体"/>
          <w:b/>
          <w:color w:val="auto"/>
          <w:sz w:val="52"/>
          <w:szCs w:val="52"/>
          <w:highlight w:val="none"/>
        </w:rPr>
      </w:pPr>
      <w:r>
        <w:rPr>
          <w:rFonts w:hint="eastAsia" w:ascii="黑体" w:hAnsi="黑体" w:eastAsia="黑体" w:cs="黑体"/>
          <w:b/>
          <w:color w:val="auto"/>
          <w:sz w:val="52"/>
          <w:szCs w:val="52"/>
          <w:highlight w:val="none"/>
        </w:rPr>
        <w:t>质量分析报告</w:t>
      </w:r>
    </w:p>
    <w:p>
      <w:pPr>
        <w:rPr>
          <w:color w:val="auto"/>
          <w:highlight w:val="none"/>
        </w:rPr>
      </w:pPr>
    </w:p>
    <w:p>
      <w:pPr>
        <w:rPr>
          <w:color w:val="auto"/>
          <w:highlight w:val="none"/>
        </w:rPr>
      </w:pPr>
    </w:p>
    <w:p>
      <w:pPr>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before="0" w:beforeLines="0" w:after="0" w:afterLines="0" w:line="240" w:lineRule="auto"/>
        <w:ind w:left="0" w:leftChars="0" w:right="0" w:rightChars="0" w:firstLine="0" w:firstLineChars="0"/>
        <w:jc w:val="center"/>
        <w:rPr>
          <w:rFonts w:hint="eastAsia" w:ascii="仿宋" w:hAnsi="仿宋" w:eastAsia="仿宋" w:cs="仿宋"/>
          <w:b/>
          <w:bCs/>
          <w:color w:val="auto"/>
          <w:kern w:val="2"/>
          <w:sz w:val="28"/>
          <w:szCs w:val="28"/>
          <w:highlight w:val="none"/>
          <w:lang w:val="en-US" w:eastAsia="zh-CN" w:bidi="ar-SA"/>
        </w:rPr>
      </w:pPr>
    </w:p>
    <w:p>
      <w:pPr>
        <w:pStyle w:val="2"/>
        <w:rPr>
          <w:rFonts w:hint="eastAsia" w:ascii="仿宋" w:hAnsi="仿宋" w:eastAsia="仿宋" w:cs="仿宋"/>
          <w:b/>
          <w:bCs/>
          <w:color w:val="auto"/>
          <w:kern w:val="2"/>
          <w:sz w:val="28"/>
          <w:szCs w:val="28"/>
          <w:highlight w:val="none"/>
          <w:lang w:val="en-US" w:eastAsia="zh-CN" w:bidi="ar-SA"/>
        </w:rPr>
      </w:pPr>
    </w:p>
    <w:p>
      <w:pPr>
        <w:pStyle w:val="2"/>
        <w:rPr>
          <w:rFonts w:hint="eastAsia" w:ascii="仿宋" w:hAnsi="仿宋" w:eastAsia="仿宋" w:cs="仿宋"/>
          <w:b/>
          <w:bCs/>
          <w:color w:val="auto"/>
          <w:kern w:val="2"/>
          <w:sz w:val="28"/>
          <w:szCs w:val="28"/>
          <w:highlight w:val="none"/>
          <w:lang w:val="en-US" w:eastAsia="zh-CN" w:bidi="ar-SA"/>
        </w:rPr>
      </w:pPr>
    </w:p>
    <w:p>
      <w:pPr>
        <w:pStyle w:val="2"/>
        <w:rPr>
          <w:rFonts w:hint="eastAsia" w:ascii="仿宋" w:hAnsi="仿宋" w:eastAsia="仿宋" w:cs="仿宋"/>
          <w:b/>
          <w:bCs/>
          <w:color w:val="auto"/>
          <w:kern w:val="2"/>
          <w:sz w:val="28"/>
          <w:szCs w:val="28"/>
          <w:highlight w:val="none"/>
          <w:lang w:val="en-US" w:eastAsia="zh-CN" w:bidi="ar-SA"/>
        </w:rPr>
      </w:pPr>
    </w:p>
    <w:p>
      <w:pPr>
        <w:pStyle w:val="2"/>
        <w:rPr>
          <w:rFonts w:hint="eastAsia" w:ascii="仿宋" w:hAnsi="仿宋" w:eastAsia="仿宋" w:cs="仿宋"/>
          <w:b/>
          <w:bCs/>
          <w:color w:val="auto"/>
          <w:kern w:val="2"/>
          <w:sz w:val="28"/>
          <w:szCs w:val="28"/>
          <w:highlight w:val="none"/>
          <w:lang w:val="en-US" w:eastAsia="zh-CN" w:bidi="ar-SA"/>
        </w:rPr>
      </w:pPr>
    </w:p>
    <w:p>
      <w:pPr>
        <w:pStyle w:val="2"/>
        <w:ind w:left="0" w:leftChars="0" w:firstLine="0" w:firstLineChars="0"/>
        <w:rPr>
          <w:rFonts w:hint="eastAsia" w:ascii="仿宋" w:hAnsi="仿宋" w:eastAsia="仿宋" w:cs="仿宋"/>
          <w:b/>
          <w:bCs/>
          <w:color w:val="auto"/>
          <w:kern w:val="2"/>
          <w:sz w:val="28"/>
          <w:szCs w:val="28"/>
          <w:highlight w:val="none"/>
          <w:lang w:val="en-US" w:eastAsia="zh-CN" w:bidi="ar-SA"/>
        </w:rPr>
      </w:pPr>
    </w:p>
    <w:p>
      <w:pPr>
        <w:spacing w:before="0" w:beforeLines="0" w:after="0" w:afterLines="0" w:line="240" w:lineRule="auto"/>
        <w:ind w:left="0" w:leftChars="0" w:right="0" w:rightChars="0" w:firstLine="0" w:firstLineChars="0"/>
        <w:jc w:val="both"/>
        <w:rPr>
          <w:rFonts w:hint="eastAsia" w:ascii="仿宋" w:hAnsi="仿宋" w:eastAsia="仿宋" w:cs="仿宋"/>
          <w:b/>
          <w:bCs/>
          <w:color w:val="auto"/>
          <w:kern w:val="2"/>
          <w:sz w:val="28"/>
          <w:szCs w:val="28"/>
          <w:highlight w:val="none"/>
          <w:lang w:val="en-US" w:eastAsia="zh-CN" w:bidi="ar-SA"/>
        </w:rPr>
      </w:pPr>
    </w:p>
    <w:sdt>
      <w:sdtPr>
        <w:rPr>
          <w:rFonts w:hint="eastAsia" w:ascii="仿宋" w:hAnsi="仿宋" w:eastAsia="仿宋" w:cs="仿宋"/>
          <w:b/>
          <w:bCs/>
          <w:color w:val="auto"/>
          <w:kern w:val="2"/>
          <w:sz w:val="28"/>
          <w:szCs w:val="28"/>
          <w:highlight w:val="none"/>
          <w:lang w:val="en-US" w:eastAsia="zh-CN" w:bidi="ar-SA"/>
        </w:rPr>
        <w:id w:val="147452979"/>
        <w15:color w:val="DBDBDB"/>
      </w:sdtPr>
      <w:sdtEndPr>
        <w:rPr>
          <w:rFonts w:hint="eastAsia" w:asciiTheme="minorHAnsi" w:hAnsiTheme="minorHAnsi" w:eastAsiaTheme="minorEastAsia" w:cstheme="minorBidi"/>
          <w:b/>
          <w:bCs/>
          <w:color w:val="auto"/>
          <w:kern w:val="2"/>
          <w:sz w:val="21"/>
          <w:szCs w:val="22"/>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b/>
              <w:bCs/>
              <w:color w:val="auto"/>
              <w:sz w:val="28"/>
              <w:szCs w:val="28"/>
              <w:highlight w:val="none"/>
            </w:rPr>
          </w:pPr>
          <w:bookmarkStart w:id="21" w:name="_GoBack"/>
          <w:bookmarkStart w:id="0" w:name="_Toc27040"/>
          <w:r>
            <w:rPr>
              <w:rFonts w:hint="eastAsia" w:ascii="仿宋" w:hAnsi="仿宋" w:eastAsia="仿宋" w:cs="仿宋"/>
              <w:b/>
              <w:bCs/>
              <w:color w:val="auto"/>
              <w:sz w:val="28"/>
              <w:szCs w:val="28"/>
              <w:highlight w:val="none"/>
            </w:rPr>
            <w:t>目</w:t>
          </w:r>
          <w:r>
            <w:rPr>
              <w:rFonts w:hint="eastAsia" w:ascii="仿宋" w:hAnsi="仿宋" w:eastAsia="仿宋" w:cs="仿宋"/>
              <w:b/>
              <w:bCs/>
              <w:color w:val="auto"/>
              <w:sz w:val="28"/>
              <w:szCs w:val="28"/>
              <w:highlight w:val="none"/>
              <w:lang w:val="en-US" w:eastAsia="zh-CN"/>
            </w:rPr>
            <w:t xml:space="preserve"> </w:t>
          </w:r>
          <w:r>
            <w:rPr>
              <w:rFonts w:hint="eastAsia" w:ascii="仿宋" w:hAnsi="仿宋" w:eastAsia="仿宋" w:cs="仿宋"/>
              <w:b/>
              <w:bCs/>
              <w:color w:val="auto"/>
              <w:sz w:val="28"/>
              <w:szCs w:val="28"/>
              <w:highlight w:val="none"/>
            </w:rPr>
            <w:t>录</w:t>
          </w:r>
        </w:p>
        <w:p>
          <w:pPr>
            <w:pStyle w:val="13"/>
            <w:tabs>
              <w:tab w:val="right" w:leader="dot" w:pos="8306"/>
            </w:tabs>
            <w:rPr>
              <w:b/>
              <w:bCs/>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TOC \o "1-2" \h \u </w:instrText>
          </w:r>
          <w:r>
            <w:rPr>
              <w:rFonts w:hint="eastAsia" w:ascii="仿宋" w:hAnsi="仿宋" w:eastAsia="仿宋" w:cs="仿宋"/>
              <w:color w:val="auto"/>
              <w:sz w:val="28"/>
              <w:szCs w:val="28"/>
              <w:highlight w:val="none"/>
            </w:rPr>
            <w:fldChar w:fldCharType="separate"/>
          </w:r>
          <w:r>
            <w:rPr>
              <w:rFonts w:hint="eastAsia" w:ascii="仿宋" w:hAnsi="仿宋" w:eastAsia="仿宋" w:cs="仿宋"/>
              <w:b/>
              <w:bCs/>
              <w:color w:val="auto"/>
              <w:szCs w:val="28"/>
              <w:highlight w:val="none"/>
            </w:rPr>
            <w:fldChar w:fldCharType="begin"/>
          </w:r>
          <w:r>
            <w:rPr>
              <w:rFonts w:hint="eastAsia" w:ascii="仿宋" w:hAnsi="仿宋" w:eastAsia="仿宋" w:cs="仿宋"/>
              <w:b/>
              <w:bCs/>
              <w:szCs w:val="28"/>
              <w:highlight w:val="none"/>
            </w:rPr>
            <w:instrText xml:space="preserve"> HYPERLINK \l _Toc10851 </w:instrText>
          </w:r>
          <w:r>
            <w:rPr>
              <w:rFonts w:hint="eastAsia" w:ascii="仿宋" w:hAnsi="仿宋" w:eastAsia="仿宋" w:cs="仿宋"/>
              <w:b/>
              <w:bCs/>
              <w:szCs w:val="28"/>
              <w:highlight w:val="none"/>
            </w:rPr>
            <w:fldChar w:fldCharType="separate"/>
          </w:r>
          <w:r>
            <w:rPr>
              <w:rFonts w:ascii="Times New Roman" w:hAnsi="Times New Roman" w:eastAsia="仿宋"/>
              <w:b/>
              <w:bCs/>
              <w:szCs w:val="32"/>
              <w:highlight w:val="none"/>
            </w:rPr>
            <w:t>第一部分  抽检工作</w:t>
          </w:r>
          <w:r>
            <w:rPr>
              <w:rFonts w:hint="eastAsia" w:ascii="Times New Roman" w:hAnsi="Times New Roman" w:eastAsia="仿宋"/>
              <w:b/>
              <w:bCs/>
              <w:szCs w:val="32"/>
              <w:highlight w:val="none"/>
            </w:rPr>
            <w:t>概</w:t>
          </w:r>
          <w:r>
            <w:rPr>
              <w:rFonts w:ascii="Times New Roman" w:hAnsi="Times New Roman" w:eastAsia="仿宋"/>
              <w:b/>
              <w:bCs/>
              <w:szCs w:val="32"/>
              <w:highlight w:val="none"/>
            </w:rPr>
            <w:t>况</w:t>
          </w:r>
          <w:r>
            <w:rPr>
              <w:b/>
              <w:bCs/>
              <w:highlight w:val="none"/>
            </w:rPr>
            <w:tab/>
          </w:r>
          <w:r>
            <w:rPr>
              <w:b/>
              <w:bCs/>
              <w:highlight w:val="none"/>
            </w:rPr>
            <w:fldChar w:fldCharType="begin"/>
          </w:r>
          <w:r>
            <w:rPr>
              <w:b/>
              <w:bCs/>
              <w:highlight w:val="none"/>
            </w:rPr>
            <w:instrText xml:space="preserve"> PAGEREF _Toc10851 \h </w:instrText>
          </w:r>
          <w:r>
            <w:rPr>
              <w:b/>
              <w:bCs/>
              <w:highlight w:val="none"/>
            </w:rPr>
            <w:fldChar w:fldCharType="separate"/>
          </w:r>
          <w:r>
            <w:rPr>
              <w:b/>
              <w:bCs/>
              <w:highlight w:val="none"/>
            </w:rPr>
            <w:t>1</w:t>
          </w:r>
          <w:r>
            <w:rPr>
              <w:b/>
              <w:bCs/>
              <w:highlight w:val="none"/>
            </w:rPr>
            <w:fldChar w:fldCharType="end"/>
          </w:r>
          <w:r>
            <w:rPr>
              <w:rFonts w:hint="eastAsia" w:ascii="仿宋" w:hAnsi="仿宋" w:eastAsia="仿宋" w:cs="仿宋"/>
              <w:b/>
              <w:bCs/>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_Toc31665 </w:instrText>
          </w:r>
          <w:r>
            <w:rPr>
              <w:rFonts w:hint="eastAsia" w:ascii="仿宋" w:hAnsi="仿宋" w:eastAsia="仿宋" w:cs="仿宋"/>
              <w:szCs w:val="28"/>
              <w:highlight w:val="none"/>
            </w:rPr>
            <w:fldChar w:fldCharType="separate"/>
          </w:r>
          <w:r>
            <w:rPr>
              <w:rFonts w:hint="eastAsia"/>
              <w:highlight w:val="none"/>
              <w:lang w:val="en-US" w:eastAsia="zh-CN"/>
            </w:rPr>
            <w:t>1.1 抽检工作背景</w:t>
          </w:r>
          <w:r>
            <w:rPr>
              <w:highlight w:val="none"/>
            </w:rPr>
            <w:tab/>
          </w:r>
          <w:r>
            <w:rPr>
              <w:highlight w:val="none"/>
            </w:rPr>
            <w:fldChar w:fldCharType="begin"/>
          </w:r>
          <w:r>
            <w:rPr>
              <w:highlight w:val="none"/>
            </w:rPr>
            <w:instrText xml:space="preserve"> PAGEREF _Toc31665 \h </w:instrText>
          </w:r>
          <w:r>
            <w:rPr>
              <w:highlight w:val="none"/>
            </w:rPr>
            <w:fldChar w:fldCharType="separate"/>
          </w:r>
          <w:r>
            <w:rPr>
              <w:highlight w:val="none"/>
            </w:rPr>
            <w:t>1</w:t>
          </w:r>
          <w:r>
            <w:rPr>
              <w:highlight w:val="none"/>
            </w:rPr>
            <w:fldChar w:fldCharType="end"/>
          </w:r>
          <w:r>
            <w:rPr>
              <w:rFonts w:hint="eastAsia" w:ascii="仿宋" w:hAnsi="仿宋" w:eastAsia="仿宋" w:cs="仿宋"/>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_Toc14982 </w:instrText>
          </w:r>
          <w:r>
            <w:rPr>
              <w:rFonts w:hint="eastAsia" w:ascii="仿宋" w:hAnsi="仿宋" w:eastAsia="仿宋" w:cs="仿宋"/>
              <w:szCs w:val="28"/>
              <w:highlight w:val="none"/>
            </w:rPr>
            <w:fldChar w:fldCharType="separate"/>
          </w:r>
          <w:r>
            <w:rPr>
              <w:rFonts w:hint="eastAsia"/>
              <w:highlight w:val="none"/>
              <w:lang w:val="en-US" w:eastAsia="zh-CN"/>
            </w:rPr>
            <w:t>1.2 抽检工作整体完成情况</w:t>
          </w:r>
          <w:r>
            <w:rPr>
              <w:highlight w:val="none"/>
            </w:rPr>
            <w:tab/>
          </w:r>
          <w:r>
            <w:rPr>
              <w:highlight w:val="none"/>
            </w:rPr>
            <w:fldChar w:fldCharType="begin"/>
          </w:r>
          <w:r>
            <w:rPr>
              <w:highlight w:val="none"/>
            </w:rPr>
            <w:instrText xml:space="preserve"> PAGEREF _Toc14982 \h </w:instrText>
          </w:r>
          <w:r>
            <w:rPr>
              <w:highlight w:val="none"/>
            </w:rPr>
            <w:fldChar w:fldCharType="separate"/>
          </w:r>
          <w:r>
            <w:rPr>
              <w:highlight w:val="none"/>
            </w:rPr>
            <w:t>1</w:t>
          </w:r>
          <w:r>
            <w:rPr>
              <w:highlight w:val="none"/>
            </w:rPr>
            <w:fldChar w:fldCharType="end"/>
          </w:r>
          <w:r>
            <w:rPr>
              <w:rFonts w:hint="eastAsia" w:ascii="仿宋" w:hAnsi="仿宋" w:eastAsia="仿宋" w:cs="仿宋"/>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_Toc21370 </w:instrText>
          </w:r>
          <w:r>
            <w:rPr>
              <w:rFonts w:hint="eastAsia" w:ascii="仿宋" w:hAnsi="仿宋" w:eastAsia="仿宋" w:cs="仿宋"/>
              <w:szCs w:val="28"/>
              <w:highlight w:val="none"/>
            </w:rPr>
            <w:fldChar w:fldCharType="separate"/>
          </w:r>
          <w:r>
            <w:rPr>
              <w:rFonts w:hint="eastAsia"/>
              <w:highlight w:val="none"/>
              <w:lang w:val="en-US" w:eastAsia="zh-CN"/>
            </w:rPr>
            <w:t>1.3 抽检类别覆盖情况</w:t>
          </w:r>
          <w:r>
            <w:rPr>
              <w:highlight w:val="none"/>
            </w:rPr>
            <w:tab/>
          </w:r>
          <w:r>
            <w:rPr>
              <w:highlight w:val="none"/>
            </w:rPr>
            <w:fldChar w:fldCharType="begin"/>
          </w:r>
          <w:r>
            <w:rPr>
              <w:highlight w:val="none"/>
            </w:rPr>
            <w:instrText xml:space="preserve"> PAGEREF _Toc21370 \h </w:instrText>
          </w:r>
          <w:r>
            <w:rPr>
              <w:highlight w:val="none"/>
            </w:rPr>
            <w:fldChar w:fldCharType="separate"/>
          </w:r>
          <w:r>
            <w:rPr>
              <w:highlight w:val="none"/>
            </w:rPr>
            <w:t>1</w:t>
          </w:r>
          <w:r>
            <w:rPr>
              <w:highlight w:val="none"/>
            </w:rPr>
            <w:fldChar w:fldCharType="end"/>
          </w:r>
          <w:r>
            <w:rPr>
              <w:rFonts w:hint="eastAsia" w:ascii="仿宋" w:hAnsi="仿宋" w:eastAsia="仿宋" w:cs="仿宋"/>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_Toc32571 </w:instrText>
          </w:r>
          <w:r>
            <w:rPr>
              <w:rFonts w:hint="eastAsia" w:ascii="仿宋" w:hAnsi="仿宋" w:eastAsia="仿宋" w:cs="仿宋"/>
              <w:szCs w:val="28"/>
              <w:highlight w:val="none"/>
            </w:rPr>
            <w:fldChar w:fldCharType="separate"/>
          </w:r>
          <w:r>
            <w:rPr>
              <w:rFonts w:hint="eastAsia"/>
              <w:highlight w:val="none"/>
              <w:lang w:val="en-US" w:eastAsia="zh-CN"/>
            </w:rPr>
            <w:t>1.4 抽检环节覆盖情况</w:t>
          </w:r>
          <w:r>
            <w:rPr>
              <w:highlight w:val="none"/>
            </w:rPr>
            <w:tab/>
          </w:r>
          <w:r>
            <w:rPr>
              <w:highlight w:val="none"/>
            </w:rPr>
            <w:fldChar w:fldCharType="begin"/>
          </w:r>
          <w:r>
            <w:rPr>
              <w:highlight w:val="none"/>
            </w:rPr>
            <w:instrText xml:space="preserve"> PAGEREF _Toc32571 \h </w:instrText>
          </w:r>
          <w:r>
            <w:rPr>
              <w:highlight w:val="none"/>
            </w:rPr>
            <w:fldChar w:fldCharType="separate"/>
          </w:r>
          <w:r>
            <w:rPr>
              <w:highlight w:val="none"/>
            </w:rPr>
            <w:t>4</w:t>
          </w:r>
          <w:r>
            <w:rPr>
              <w:highlight w:val="none"/>
            </w:rPr>
            <w:fldChar w:fldCharType="end"/>
          </w:r>
          <w:r>
            <w:rPr>
              <w:rFonts w:hint="eastAsia" w:ascii="仿宋" w:hAnsi="仿宋" w:eastAsia="仿宋" w:cs="仿宋"/>
              <w:color w:val="auto"/>
              <w:szCs w:val="28"/>
              <w:highlight w:val="none"/>
            </w:rPr>
            <w:fldChar w:fldCharType="end"/>
          </w:r>
        </w:p>
        <w:p>
          <w:pPr>
            <w:pStyle w:val="13"/>
            <w:tabs>
              <w:tab w:val="right" w:leader="dot" w:pos="8306"/>
            </w:tabs>
            <w:rPr>
              <w:b/>
              <w:bCs/>
              <w:highlight w:val="none"/>
            </w:rPr>
          </w:pPr>
          <w:r>
            <w:rPr>
              <w:rFonts w:hint="eastAsia" w:ascii="仿宋" w:hAnsi="仿宋" w:eastAsia="仿宋" w:cs="仿宋"/>
              <w:b/>
              <w:bCs/>
              <w:color w:val="auto"/>
              <w:szCs w:val="28"/>
              <w:highlight w:val="none"/>
            </w:rPr>
            <w:fldChar w:fldCharType="begin"/>
          </w:r>
          <w:r>
            <w:rPr>
              <w:rFonts w:hint="eastAsia" w:ascii="仿宋" w:hAnsi="仿宋" w:eastAsia="仿宋" w:cs="仿宋"/>
              <w:b/>
              <w:bCs/>
              <w:szCs w:val="28"/>
              <w:highlight w:val="none"/>
            </w:rPr>
            <w:instrText xml:space="preserve"> HYPERLINK \l _Toc29521 </w:instrText>
          </w:r>
          <w:r>
            <w:rPr>
              <w:rFonts w:hint="eastAsia" w:ascii="仿宋" w:hAnsi="仿宋" w:eastAsia="仿宋" w:cs="仿宋"/>
              <w:b/>
              <w:bCs/>
              <w:szCs w:val="28"/>
              <w:highlight w:val="none"/>
            </w:rPr>
            <w:fldChar w:fldCharType="separate"/>
          </w:r>
          <w:r>
            <w:rPr>
              <w:rFonts w:ascii="Times New Roman" w:hAnsi="Times New Roman" w:eastAsia="仿宋"/>
              <w:b/>
              <w:bCs/>
              <w:szCs w:val="32"/>
              <w:highlight w:val="none"/>
            </w:rPr>
            <w:t>第</w:t>
          </w:r>
          <w:r>
            <w:rPr>
              <w:rFonts w:hint="eastAsia" w:ascii="Times New Roman" w:hAnsi="Times New Roman" w:eastAsia="仿宋"/>
              <w:b/>
              <w:bCs/>
              <w:szCs w:val="32"/>
              <w:highlight w:val="none"/>
            </w:rPr>
            <w:t>二</w:t>
          </w:r>
          <w:r>
            <w:rPr>
              <w:rFonts w:ascii="Times New Roman" w:hAnsi="Times New Roman" w:eastAsia="仿宋"/>
              <w:b/>
              <w:bCs/>
              <w:szCs w:val="32"/>
              <w:highlight w:val="none"/>
            </w:rPr>
            <w:t>部分  抽检</w:t>
          </w:r>
          <w:r>
            <w:rPr>
              <w:rFonts w:hint="eastAsia" w:ascii="Times New Roman" w:hAnsi="Times New Roman" w:eastAsia="仿宋"/>
              <w:b/>
              <w:bCs/>
              <w:szCs w:val="32"/>
              <w:highlight w:val="none"/>
            </w:rPr>
            <w:t>结果分析</w:t>
          </w:r>
          <w:r>
            <w:rPr>
              <w:b/>
              <w:bCs/>
              <w:highlight w:val="none"/>
            </w:rPr>
            <w:tab/>
          </w:r>
          <w:r>
            <w:rPr>
              <w:b/>
              <w:bCs/>
              <w:highlight w:val="none"/>
            </w:rPr>
            <w:fldChar w:fldCharType="begin"/>
          </w:r>
          <w:r>
            <w:rPr>
              <w:b/>
              <w:bCs/>
              <w:highlight w:val="none"/>
            </w:rPr>
            <w:instrText xml:space="preserve"> PAGEREF _Toc29521 \h </w:instrText>
          </w:r>
          <w:r>
            <w:rPr>
              <w:b/>
              <w:bCs/>
              <w:highlight w:val="none"/>
            </w:rPr>
            <w:fldChar w:fldCharType="separate"/>
          </w:r>
          <w:r>
            <w:rPr>
              <w:b/>
              <w:bCs/>
              <w:highlight w:val="none"/>
            </w:rPr>
            <w:t>5</w:t>
          </w:r>
          <w:r>
            <w:rPr>
              <w:b/>
              <w:bCs/>
              <w:highlight w:val="none"/>
            </w:rPr>
            <w:fldChar w:fldCharType="end"/>
          </w:r>
          <w:r>
            <w:rPr>
              <w:rFonts w:hint="eastAsia" w:ascii="仿宋" w:hAnsi="仿宋" w:eastAsia="仿宋" w:cs="仿宋"/>
              <w:b/>
              <w:bCs/>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_Toc24436 </w:instrText>
          </w:r>
          <w:r>
            <w:rPr>
              <w:rFonts w:hint="eastAsia" w:ascii="仿宋" w:hAnsi="仿宋" w:eastAsia="仿宋" w:cs="仿宋"/>
              <w:szCs w:val="28"/>
              <w:highlight w:val="none"/>
            </w:rPr>
            <w:fldChar w:fldCharType="separate"/>
          </w:r>
          <w:r>
            <w:rPr>
              <w:rFonts w:hint="eastAsia"/>
              <w:highlight w:val="none"/>
              <w:lang w:val="en-US" w:eastAsia="zh-CN"/>
            </w:rPr>
            <w:t xml:space="preserve">2.1 </w:t>
          </w:r>
          <w:r>
            <w:rPr>
              <w:rFonts w:hint="eastAsia"/>
              <w:highlight w:val="none"/>
            </w:rPr>
            <w:t>总体抽检</w:t>
          </w:r>
          <w:r>
            <w:rPr>
              <w:highlight w:val="none"/>
            </w:rPr>
            <w:t>结果分析</w:t>
          </w:r>
          <w:r>
            <w:rPr>
              <w:highlight w:val="none"/>
            </w:rPr>
            <w:tab/>
          </w:r>
          <w:r>
            <w:rPr>
              <w:highlight w:val="none"/>
            </w:rPr>
            <w:fldChar w:fldCharType="begin"/>
          </w:r>
          <w:r>
            <w:rPr>
              <w:highlight w:val="none"/>
            </w:rPr>
            <w:instrText xml:space="preserve"> PAGEREF _Toc24436 \h </w:instrText>
          </w:r>
          <w:r>
            <w:rPr>
              <w:highlight w:val="none"/>
            </w:rPr>
            <w:fldChar w:fldCharType="separate"/>
          </w:r>
          <w:r>
            <w:rPr>
              <w:highlight w:val="none"/>
            </w:rPr>
            <w:t>5</w:t>
          </w:r>
          <w:r>
            <w:rPr>
              <w:highlight w:val="none"/>
            </w:rPr>
            <w:fldChar w:fldCharType="end"/>
          </w:r>
          <w:r>
            <w:rPr>
              <w:rFonts w:hint="eastAsia" w:ascii="仿宋" w:hAnsi="仿宋" w:eastAsia="仿宋" w:cs="仿宋"/>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_Toc30346 </w:instrText>
          </w:r>
          <w:r>
            <w:rPr>
              <w:rFonts w:hint="eastAsia" w:ascii="仿宋" w:hAnsi="仿宋" w:eastAsia="仿宋" w:cs="仿宋"/>
              <w:szCs w:val="28"/>
              <w:highlight w:val="none"/>
            </w:rPr>
            <w:fldChar w:fldCharType="separate"/>
          </w:r>
          <w:r>
            <w:rPr>
              <w:rFonts w:hint="eastAsia"/>
              <w:highlight w:val="none"/>
              <w:lang w:val="en-US" w:eastAsia="zh-CN"/>
            </w:rPr>
            <w:t xml:space="preserve">2.2 </w:t>
          </w:r>
          <w:r>
            <w:rPr>
              <w:rFonts w:hint="eastAsia"/>
              <w:highlight w:val="none"/>
              <w:lang w:eastAsia="zh-CN"/>
            </w:rPr>
            <w:t>抽样环节</w:t>
          </w:r>
          <w:r>
            <w:rPr>
              <w:highlight w:val="none"/>
            </w:rPr>
            <w:t>结果分析</w:t>
          </w:r>
          <w:r>
            <w:rPr>
              <w:highlight w:val="none"/>
            </w:rPr>
            <w:tab/>
          </w:r>
          <w:r>
            <w:rPr>
              <w:highlight w:val="none"/>
            </w:rPr>
            <w:fldChar w:fldCharType="begin"/>
          </w:r>
          <w:r>
            <w:rPr>
              <w:highlight w:val="none"/>
            </w:rPr>
            <w:instrText xml:space="preserve"> PAGEREF _Toc30346 \h </w:instrText>
          </w:r>
          <w:r>
            <w:rPr>
              <w:highlight w:val="none"/>
            </w:rPr>
            <w:fldChar w:fldCharType="separate"/>
          </w:r>
          <w:r>
            <w:rPr>
              <w:highlight w:val="none"/>
            </w:rPr>
            <w:t>6</w:t>
          </w:r>
          <w:r>
            <w:rPr>
              <w:highlight w:val="none"/>
            </w:rPr>
            <w:fldChar w:fldCharType="end"/>
          </w:r>
          <w:r>
            <w:rPr>
              <w:rFonts w:hint="eastAsia" w:ascii="仿宋" w:hAnsi="仿宋" w:eastAsia="仿宋" w:cs="仿宋"/>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_Toc16567 </w:instrText>
          </w:r>
          <w:r>
            <w:rPr>
              <w:rFonts w:hint="eastAsia" w:ascii="仿宋" w:hAnsi="仿宋" w:eastAsia="仿宋" w:cs="仿宋"/>
              <w:szCs w:val="28"/>
              <w:highlight w:val="none"/>
            </w:rPr>
            <w:fldChar w:fldCharType="separate"/>
          </w:r>
          <w:r>
            <w:rPr>
              <w:rFonts w:hint="eastAsia"/>
              <w:highlight w:val="none"/>
              <w:lang w:val="en-US" w:eastAsia="zh-CN"/>
            </w:rPr>
            <w:t xml:space="preserve">2.3 </w:t>
          </w:r>
          <w:r>
            <w:rPr>
              <w:rFonts w:hint="eastAsia"/>
              <w:highlight w:val="none"/>
            </w:rPr>
            <w:t>样品检验不合格</w:t>
          </w:r>
          <w:r>
            <w:rPr>
              <w:highlight w:val="none"/>
            </w:rPr>
            <w:t>项目统计与</w:t>
          </w:r>
          <w:r>
            <w:rPr>
              <w:rFonts w:hint="eastAsia"/>
              <w:highlight w:val="none"/>
            </w:rPr>
            <w:t>危害</w:t>
          </w:r>
          <w:r>
            <w:rPr>
              <w:highlight w:val="none"/>
            </w:rPr>
            <w:t>分析</w:t>
          </w:r>
          <w:r>
            <w:rPr>
              <w:highlight w:val="none"/>
            </w:rPr>
            <w:tab/>
          </w:r>
          <w:r>
            <w:rPr>
              <w:highlight w:val="none"/>
            </w:rPr>
            <w:fldChar w:fldCharType="begin"/>
          </w:r>
          <w:r>
            <w:rPr>
              <w:highlight w:val="none"/>
            </w:rPr>
            <w:instrText xml:space="preserve"> PAGEREF _Toc16567 \h </w:instrText>
          </w:r>
          <w:r>
            <w:rPr>
              <w:highlight w:val="none"/>
            </w:rPr>
            <w:fldChar w:fldCharType="separate"/>
          </w:r>
          <w:r>
            <w:rPr>
              <w:highlight w:val="none"/>
            </w:rPr>
            <w:t>7</w:t>
          </w:r>
          <w:r>
            <w:rPr>
              <w:highlight w:val="none"/>
            </w:rPr>
            <w:fldChar w:fldCharType="end"/>
          </w:r>
          <w:r>
            <w:rPr>
              <w:rFonts w:hint="eastAsia" w:ascii="仿宋" w:hAnsi="仿宋" w:eastAsia="仿宋" w:cs="仿宋"/>
              <w:color w:val="auto"/>
              <w:szCs w:val="28"/>
              <w:highlight w:val="none"/>
            </w:rPr>
            <w:fldChar w:fldCharType="end"/>
          </w:r>
        </w:p>
        <w:p>
          <w:pPr>
            <w:pStyle w:val="13"/>
            <w:tabs>
              <w:tab w:val="right" w:leader="dot" w:pos="8306"/>
            </w:tabs>
            <w:rPr>
              <w:b/>
              <w:bCs/>
              <w:highlight w:val="none"/>
            </w:rPr>
          </w:pPr>
          <w:r>
            <w:rPr>
              <w:rFonts w:hint="eastAsia" w:ascii="仿宋" w:hAnsi="仿宋" w:eastAsia="仿宋" w:cs="仿宋"/>
              <w:b/>
              <w:bCs/>
              <w:color w:val="auto"/>
              <w:szCs w:val="28"/>
              <w:highlight w:val="none"/>
            </w:rPr>
            <w:fldChar w:fldCharType="begin"/>
          </w:r>
          <w:r>
            <w:rPr>
              <w:rFonts w:hint="eastAsia" w:ascii="仿宋" w:hAnsi="仿宋" w:eastAsia="仿宋" w:cs="仿宋"/>
              <w:b/>
              <w:bCs/>
              <w:szCs w:val="28"/>
              <w:highlight w:val="none"/>
            </w:rPr>
            <w:instrText xml:space="preserve"> HYPERLINK \l _Toc3599 </w:instrText>
          </w:r>
          <w:r>
            <w:rPr>
              <w:rFonts w:hint="eastAsia" w:ascii="仿宋" w:hAnsi="仿宋" w:eastAsia="仿宋" w:cs="仿宋"/>
              <w:b/>
              <w:bCs/>
              <w:szCs w:val="28"/>
              <w:highlight w:val="none"/>
            </w:rPr>
            <w:fldChar w:fldCharType="separate"/>
          </w:r>
          <w:r>
            <w:rPr>
              <w:rFonts w:hint="eastAsia" w:ascii="仿宋" w:hAnsi="仿宋" w:eastAsia="仿宋" w:cs="仿宋"/>
              <w:b/>
              <w:bCs/>
              <w:szCs w:val="28"/>
              <w:highlight w:val="none"/>
            </w:rPr>
            <w:t>第三部分  市场监管建议</w:t>
          </w:r>
          <w:r>
            <w:rPr>
              <w:b/>
              <w:bCs/>
              <w:highlight w:val="none"/>
            </w:rPr>
            <w:tab/>
          </w:r>
          <w:r>
            <w:rPr>
              <w:b/>
              <w:bCs/>
              <w:highlight w:val="none"/>
            </w:rPr>
            <w:fldChar w:fldCharType="begin"/>
          </w:r>
          <w:r>
            <w:rPr>
              <w:b/>
              <w:bCs/>
              <w:highlight w:val="none"/>
            </w:rPr>
            <w:instrText xml:space="preserve"> PAGEREF _Toc3599 \h </w:instrText>
          </w:r>
          <w:r>
            <w:rPr>
              <w:b/>
              <w:bCs/>
              <w:highlight w:val="none"/>
            </w:rPr>
            <w:fldChar w:fldCharType="separate"/>
          </w:r>
          <w:r>
            <w:rPr>
              <w:b/>
              <w:bCs/>
              <w:highlight w:val="none"/>
            </w:rPr>
            <w:t>22</w:t>
          </w:r>
          <w:r>
            <w:rPr>
              <w:b/>
              <w:bCs/>
              <w:highlight w:val="none"/>
            </w:rPr>
            <w:fldChar w:fldCharType="end"/>
          </w:r>
          <w:r>
            <w:rPr>
              <w:rFonts w:hint="eastAsia" w:ascii="仿宋" w:hAnsi="仿宋" w:eastAsia="仿宋" w:cs="仿宋"/>
              <w:b/>
              <w:bCs/>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_Toc21472 </w:instrText>
          </w:r>
          <w:r>
            <w:rPr>
              <w:rFonts w:hint="eastAsia" w:ascii="仿宋" w:hAnsi="仿宋" w:eastAsia="仿宋" w:cs="仿宋"/>
              <w:szCs w:val="28"/>
              <w:highlight w:val="none"/>
            </w:rPr>
            <w:fldChar w:fldCharType="separate"/>
          </w:r>
          <w:r>
            <w:rPr>
              <w:rFonts w:hint="eastAsia" w:ascii="仿宋" w:hAnsi="仿宋" w:cs="仿宋"/>
              <w:szCs w:val="28"/>
              <w:highlight w:val="none"/>
              <w:lang w:val="en-US" w:eastAsia="zh-CN"/>
            </w:rPr>
            <w:t xml:space="preserve">3.1 </w:t>
          </w:r>
          <w:r>
            <w:rPr>
              <w:rFonts w:hint="eastAsia" w:ascii="仿宋" w:hAnsi="仿宋" w:eastAsia="仿宋" w:cs="仿宋"/>
              <w:szCs w:val="28"/>
              <w:highlight w:val="none"/>
            </w:rPr>
            <w:t>样品检验项目的建议</w:t>
          </w:r>
          <w:r>
            <w:rPr>
              <w:highlight w:val="none"/>
            </w:rPr>
            <w:tab/>
          </w:r>
          <w:r>
            <w:rPr>
              <w:highlight w:val="none"/>
            </w:rPr>
            <w:fldChar w:fldCharType="begin"/>
          </w:r>
          <w:r>
            <w:rPr>
              <w:highlight w:val="none"/>
            </w:rPr>
            <w:instrText xml:space="preserve"> PAGEREF _Toc21472 \h </w:instrText>
          </w:r>
          <w:r>
            <w:rPr>
              <w:highlight w:val="none"/>
            </w:rPr>
            <w:fldChar w:fldCharType="separate"/>
          </w:r>
          <w:r>
            <w:rPr>
              <w:highlight w:val="none"/>
            </w:rPr>
            <w:t>22</w:t>
          </w:r>
          <w:r>
            <w:rPr>
              <w:highlight w:val="none"/>
            </w:rPr>
            <w:fldChar w:fldCharType="end"/>
          </w:r>
          <w:r>
            <w:rPr>
              <w:rFonts w:hint="eastAsia" w:ascii="仿宋" w:hAnsi="仿宋" w:eastAsia="仿宋" w:cs="仿宋"/>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_Toc9367 </w:instrText>
          </w:r>
          <w:r>
            <w:rPr>
              <w:rFonts w:hint="eastAsia" w:ascii="仿宋" w:hAnsi="仿宋" w:eastAsia="仿宋" w:cs="仿宋"/>
              <w:szCs w:val="28"/>
              <w:highlight w:val="none"/>
            </w:rPr>
            <w:fldChar w:fldCharType="separate"/>
          </w:r>
          <w:r>
            <w:rPr>
              <w:rFonts w:hint="eastAsia" w:ascii="仿宋" w:hAnsi="仿宋" w:cs="仿宋"/>
              <w:szCs w:val="28"/>
              <w:highlight w:val="none"/>
              <w:lang w:val="en-US" w:eastAsia="zh-CN"/>
            </w:rPr>
            <w:t xml:space="preserve">3.2 </w:t>
          </w:r>
          <w:r>
            <w:rPr>
              <w:rFonts w:hint="eastAsia" w:ascii="仿宋" w:hAnsi="仿宋" w:eastAsia="仿宋" w:cs="仿宋"/>
              <w:szCs w:val="28"/>
              <w:highlight w:val="none"/>
            </w:rPr>
            <w:t>抽样区域选择的建议</w:t>
          </w:r>
          <w:r>
            <w:rPr>
              <w:highlight w:val="none"/>
            </w:rPr>
            <w:tab/>
          </w:r>
          <w:r>
            <w:rPr>
              <w:highlight w:val="none"/>
            </w:rPr>
            <w:fldChar w:fldCharType="begin"/>
          </w:r>
          <w:r>
            <w:rPr>
              <w:highlight w:val="none"/>
            </w:rPr>
            <w:instrText xml:space="preserve"> PAGEREF _Toc9367 \h </w:instrText>
          </w:r>
          <w:r>
            <w:rPr>
              <w:highlight w:val="none"/>
            </w:rPr>
            <w:fldChar w:fldCharType="separate"/>
          </w:r>
          <w:r>
            <w:rPr>
              <w:highlight w:val="none"/>
            </w:rPr>
            <w:t>22</w:t>
          </w:r>
          <w:r>
            <w:rPr>
              <w:highlight w:val="none"/>
            </w:rPr>
            <w:fldChar w:fldCharType="end"/>
          </w:r>
          <w:r>
            <w:rPr>
              <w:rFonts w:hint="eastAsia" w:ascii="仿宋" w:hAnsi="仿宋" w:eastAsia="仿宋" w:cs="仿宋"/>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_Toc2274 </w:instrText>
          </w:r>
          <w:r>
            <w:rPr>
              <w:rFonts w:hint="eastAsia" w:ascii="仿宋" w:hAnsi="仿宋" w:eastAsia="仿宋" w:cs="仿宋"/>
              <w:szCs w:val="28"/>
              <w:highlight w:val="none"/>
            </w:rPr>
            <w:fldChar w:fldCharType="separate"/>
          </w:r>
          <w:r>
            <w:rPr>
              <w:rFonts w:hint="eastAsia" w:ascii="仿宋" w:hAnsi="仿宋" w:cs="仿宋"/>
              <w:szCs w:val="28"/>
              <w:highlight w:val="none"/>
              <w:lang w:val="en-US" w:eastAsia="zh-CN"/>
            </w:rPr>
            <w:t xml:space="preserve">3.3 </w:t>
          </w:r>
          <w:r>
            <w:rPr>
              <w:rFonts w:hint="eastAsia" w:ascii="仿宋" w:hAnsi="仿宋" w:eastAsia="仿宋" w:cs="仿宋"/>
              <w:szCs w:val="28"/>
              <w:highlight w:val="none"/>
            </w:rPr>
            <w:t>风险监控建议</w:t>
          </w:r>
          <w:r>
            <w:rPr>
              <w:highlight w:val="none"/>
            </w:rPr>
            <w:tab/>
          </w:r>
          <w:r>
            <w:rPr>
              <w:highlight w:val="none"/>
            </w:rPr>
            <w:fldChar w:fldCharType="begin"/>
          </w:r>
          <w:r>
            <w:rPr>
              <w:highlight w:val="none"/>
            </w:rPr>
            <w:instrText xml:space="preserve"> PAGEREF _Toc2274 \h </w:instrText>
          </w:r>
          <w:r>
            <w:rPr>
              <w:highlight w:val="none"/>
            </w:rPr>
            <w:fldChar w:fldCharType="separate"/>
          </w:r>
          <w:r>
            <w:rPr>
              <w:highlight w:val="none"/>
            </w:rPr>
            <w:t>22</w:t>
          </w:r>
          <w:r>
            <w:rPr>
              <w:highlight w:val="none"/>
            </w:rPr>
            <w:fldChar w:fldCharType="end"/>
          </w:r>
          <w:r>
            <w:rPr>
              <w:rFonts w:hint="eastAsia" w:ascii="仿宋" w:hAnsi="仿宋" w:eastAsia="仿宋" w:cs="仿宋"/>
              <w:color w:val="auto"/>
              <w:szCs w:val="28"/>
              <w:highlight w:val="none"/>
            </w:rPr>
            <w:fldChar w:fldCharType="end"/>
          </w:r>
        </w:p>
        <w:p>
          <w:pPr>
            <w:pStyle w:val="14"/>
            <w:tabs>
              <w:tab w:val="right" w:leader="dot" w:pos="8306"/>
              <w:tab w:val="clear" w:pos="8296"/>
            </w:tabs>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_Toc25053 </w:instrText>
          </w:r>
          <w:r>
            <w:rPr>
              <w:rFonts w:hint="eastAsia" w:ascii="仿宋" w:hAnsi="仿宋" w:eastAsia="仿宋" w:cs="仿宋"/>
              <w:szCs w:val="28"/>
              <w:highlight w:val="none"/>
            </w:rPr>
            <w:fldChar w:fldCharType="separate"/>
          </w:r>
          <w:r>
            <w:rPr>
              <w:rFonts w:hint="eastAsia" w:ascii="仿宋" w:hAnsi="仿宋" w:cs="仿宋"/>
              <w:szCs w:val="28"/>
              <w:highlight w:val="none"/>
              <w:lang w:val="en-US" w:eastAsia="zh-CN"/>
            </w:rPr>
            <w:t xml:space="preserve">3.4 </w:t>
          </w:r>
          <w:r>
            <w:rPr>
              <w:rFonts w:hint="eastAsia" w:ascii="仿宋" w:hAnsi="仿宋" w:eastAsia="仿宋" w:cs="仿宋"/>
              <w:szCs w:val="28"/>
              <w:highlight w:val="none"/>
              <w:lang w:val="en-US" w:eastAsia="zh-CN"/>
            </w:rPr>
            <w:t>突出五个强化</w:t>
          </w:r>
          <w:r>
            <w:rPr>
              <w:highlight w:val="none"/>
            </w:rPr>
            <w:tab/>
          </w:r>
          <w:r>
            <w:rPr>
              <w:highlight w:val="none"/>
            </w:rPr>
            <w:fldChar w:fldCharType="begin"/>
          </w:r>
          <w:r>
            <w:rPr>
              <w:highlight w:val="none"/>
            </w:rPr>
            <w:instrText xml:space="preserve"> PAGEREF _Toc25053 \h </w:instrText>
          </w:r>
          <w:r>
            <w:rPr>
              <w:highlight w:val="none"/>
            </w:rPr>
            <w:fldChar w:fldCharType="separate"/>
          </w:r>
          <w:r>
            <w:rPr>
              <w:highlight w:val="none"/>
            </w:rPr>
            <w:t>23</w:t>
          </w:r>
          <w:r>
            <w:rPr>
              <w:highlight w:val="none"/>
            </w:rPr>
            <w:fldChar w:fldCharType="end"/>
          </w:r>
          <w:r>
            <w:rPr>
              <w:rFonts w:hint="eastAsia" w:ascii="仿宋" w:hAnsi="仿宋" w:eastAsia="仿宋" w:cs="仿宋"/>
              <w:color w:val="auto"/>
              <w:szCs w:val="28"/>
              <w:highlight w:val="none"/>
            </w:rPr>
            <w:fldChar w:fldCharType="end"/>
          </w:r>
        </w:p>
        <w:p>
          <w:pPr>
            <w:spacing w:line="480" w:lineRule="auto"/>
            <w:rPr>
              <w:color w:val="auto"/>
              <w:highlight w:val="none"/>
            </w:rPr>
          </w:pPr>
          <w:r>
            <w:rPr>
              <w:rFonts w:hint="eastAsia" w:ascii="仿宋" w:hAnsi="仿宋" w:eastAsia="仿宋" w:cs="仿宋"/>
              <w:color w:val="auto"/>
              <w:szCs w:val="28"/>
              <w:highlight w:val="none"/>
            </w:rPr>
            <w:fldChar w:fldCharType="end"/>
          </w:r>
        </w:p>
      </w:sdtContent>
    </w:sdt>
    <w:p>
      <w:pPr>
        <w:rPr>
          <w:color w:val="auto"/>
          <w:highlight w:val="none"/>
        </w:rPr>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pPr>
    </w:p>
    <w:p>
      <w:pPr>
        <w:pStyle w:val="4"/>
        <w:pageBreakBefore/>
        <w:tabs>
          <w:tab w:val="left" w:pos="1875"/>
          <w:tab w:val="center" w:pos="4153"/>
          <w:tab w:val="left" w:pos="6525"/>
        </w:tabs>
        <w:spacing w:before="156" w:beforeLines="50" w:after="156" w:afterLines="50" w:line="600" w:lineRule="auto"/>
        <w:rPr>
          <w:rFonts w:ascii="Times New Roman" w:hAnsi="Times New Roman" w:eastAsia="仿宋"/>
          <w:color w:val="auto"/>
          <w:sz w:val="32"/>
          <w:szCs w:val="32"/>
          <w:highlight w:val="none"/>
        </w:rPr>
      </w:pPr>
      <w:bookmarkStart w:id="1" w:name="_Toc10851"/>
      <w:r>
        <w:rPr>
          <w:rFonts w:ascii="Times New Roman" w:hAnsi="Times New Roman" w:eastAsia="仿宋"/>
          <w:color w:val="auto"/>
          <w:sz w:val="32"/>
          <w:szCs w:val="32"/>
          <w:highlight w:val="none"/>
        </w:rPr>
        <w:t>第一部分  抽检工作</w:t>
      </w:r>
      <w:r>
        <w:rPr>
          <w:rFonts w:hint="eastAsia" w:ascii="Times New Roman" w:hAnsi="Times New Roman" w:eastAsia="仿宋"/>
          <w:color w:val="auto"/>
          <w:sz w:val="32"/>
          <w:szCs w:val="32"/>
          <w:highlight w:val="none"/>
        </w:rPr>
        <w:t>概</w:t>
      </w:r>
      <w:r>
        <w:rPr>
          <w:rFonts w:ascii="Times New Roman" w:hAnsi="Times New Roman" w:eastAsia="仿宋"/>
          <w:color w:val="auto"/>
          <w:sz w:val="32"/>
          <w:szCs w:val="32"/>
          <w:highlight w:val="none"/>
        </w:rPr>
        <w:t>况</w:t>
      </w:r>
      <w:bookmarkEnd w:id="0"/>
      <w:bookmarkEnd w:id="1"/>
    </w:p>
    <w:p>
      <w:pPr>
        <w:widowControl/>
        <w:spacing w:line="360" w:lineRule="auto"/>
        <w:ind w:firstLine="560" w:firstLineChars="200"/>
        <w:rPr>
          <w:rFonts w:ascii="Times New Roman" w:hAnsi="Times New Roman" w:eastAsia="仿宋"/>
          <w:color w:val="auto"/>
          <w:sz w:val="28"/>
          <w:szCs w:val="28"/>
          <w:highlight w:val="none"/>
        </w:rPr>
      </w:pPr>
      <w:r>
        <w:rPr>
          <w:rFonts w:ascii="Times New Roman" w:hAnsi="Times New Roman" w:eastAsia="仿宋"/>
          <w:color w:val="auto"/>
          <w:sz w:val="28"/>
          <w:szCs w:val="28"/>
          <w:highlight w:val="none"/>
        </w:rPr>
        <w:t>对食品经营企业进行定期和不定期的监督抽检，是食品安全监管工作的重要手段，也是《中华人民共和国食品安全法》赋予监管部门的重要职责，不仅能及时了解掌握食品经营质量安全状况，及时发现问题并督促企业整改；通过实施食品安全抽检计划，实现监督抽检与信息公开、核查处置联动，还能为各级政府和监管部门提供相关决策。</w:t>
      </w:r>
    </w:p>
    <w:p>
      <w:pPr>
        <w:pStyle w:val="5"/>
        <w:spacing w:line="360" w:lineRule="auto"/>
        <w:rPr>
          <w:rFonts w:hint="eastAsia"/>
          <w:color w:val="auto"/>
          <w:highlight w:val="none"/>
          <w:lang w:val="en-US" w:eastAsia="zh-CN"/>
        </w:rPr>
      </w:pPr>
      <w:bookmarkStart w:id="2" w:name="_Toc17856"/>
      <w:bookmarkStart w:id="3" w:name="_Toc503530673"/>
      <w:bookmarkStart w:id="4" w:name="_Toc31665"/>
      <w:r>
        <w:rPr>
          <w:rFonts w:hint="eastAsia"/>
          <w:color w:val="auto"/>
          <w:highlight w:val="none"/>
          <w:lang w:val="en-US" w:eastAsia="zh-CN"/>
        </w:rPr>
        <w:t>1.1 抽检</w:t>
      </w:r>
      <w:bookmarkEnd w:id="2"/>
      <w:bookmarkEnd w:id="3"/>
      <w:r>
        <w:rPr>
          <w:rFonts w:hint="eastAsia"/>
          <w:color w:val="auto"/>
          <w:highlight w:val="none"/>
          <w:lang w:val="en-US" w:eastAsia="zh-CN"/>
        </w:rPr>
        <w:t>工作背景</w:t>
      </w:r>
      <w:bookmarkEnd w:id="4"/>
    </w:p>
    <w:p>
      <w:pPr>
        <w:widowControl/>
        <w:ind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为全面掌握</w:t>
      </w:r>
      <w:r>
        <w:rPr>
          <w:rFonts w:hint="eastAsia" w:ascii="Times New Roman" w:hAnsi="Times New Roman" w:cs="Times New Roman"/>
          <w:color w:val="auto"/>
          <w:sz w:val="28"/>
          <w:szCs w:val="28"/>
          <w:highlight w:val="none"/>
          <w:lang w:eastAsia="zh-CN"/>
        </w:rPr>
        <w:t>伊川县</w:t>
      </w:r>
      <w:r>
        <w:rPr>
          <w:rFonts w:ascii="Times New Roman" w:hAnsi="Times New Roman" w:eastAsia="仿宋" w:cs="Times New Roman"/>
          <w:color w:val="auto"/>
          <w:sz w:val="28"/>
          <w:szCs w:val="28"/>
          <w:highlight w:val="none"/>
        </w:rPr>
        <w:t>食品总体质量状况，及时发现和处置食品安全风险隐患，有效控制和预防区域性、系统性食品安全事件的发生，根据《中华人民共和国食品安全法》等法律法规以及上级有关要求，结合辖区实际</w:t>
      </w:r>
      <w:r>
        <w:rPr>
          <w:rFonts w:hint="eastAsia" w:ascii="Times New Roman" w:hAnsi="Times New Roman" w:eastAsia="仿宋" w:cs="Times New Roman"/>
          <w:color w:val="auto"/>
          <w:sz w:val="28"/>
          <w:szCs w:val="28"/>
          <w:highlight w:val="none"/>
        </w:rPr>
        <w:t>情况</w:t>
      </w:r>
      <w:r>
        <w:rPr>
          <w:rFonts w:ascii="Times New Roman" w:hAnsi="Times New Roman" w:eastAsia="仿宋" w:cs="Times New Roman"/>
          <w:color w:val="auto"/>
          <w:sz w:val="28"/>
          <w:szCs w:val="28"/>
          <w:highlight w:val="none"/>
        </w:rPr>
        <w:t>，</w:t>
      </w:r>
      <w:r>
        <w:rPr>
          <w:rFonts w:hint="eastAsia" w:ascii="Times New Roman" w:hAnsi="Times New Roman" w:cs="Times New Roman"/>
          <w:color w:val="auto"/>
          <w:sz w:val="28"/>
          <w:szCs w:val="28"/>
          <w:highlight w:val="none"/>
          <w:lang w:eastAsia="zh-CN"/>
        </w:rPr>
        <w:t>伊川县</w:t>
      </w:r>
      <w:r>
        <w:rPr>
          <w:rFonts w:hint="eastAsia" w:ascii="Times New Roman" w:hAnsi="Times New Roman" w:eastAsia="仿宋" w:cs="Times New Roman"/>
          <w:color w:val="auto"/>
          <w:sz w:val="28"/>
          <w:szCs w:val="28"/>
          <w:highlight w:val="none"/>
          <w:lang w:eastAsia="zh-CN"/>
        </w:rPr>
        <w:t>市场监督管理局</w:t>
      </w:r>
      <w:r>
        <w:rPr>
          <w:rFonts w:hint="eastAsia" w:ascii="Times New Roman" w:hAnsi="Times New Roman" w:eastAsia="仿宋" w:cs="Times New Roman"/>
          <w:color w:val="auto"/>
          <w:sz w:val="28"/>
          <w:szCs w:val="28"/>
          <w:highlight w:val="none"/>
        </w:rPr>
        <w:t>下达</w:t>
      </w:r>
      <w:r>
        <w:rPr>
          <w:rFonts w:hint="eastAsia" w:ascii="Times New Roman" w:hAnsi="Times New Roman" w:cs="Times New Roman"/>
          <w:color w:val="auto"/>
          <w:sz w:val="28"/>
          <w:szCs w:val="28"/>
          <w:highlight w:val="none"/>
          <w:lang w:val="en-US" w:eastAsia="zh-CN"/>
        </w:rPr>
        <w:t>2022</w:t>
      </w:r>
      <w:r>
        <w:rPr>
          <w:rFonts w:hint="eastAsia" w:ascii="Times New Roman" w:hAnsi="Times New Roman" w:eastAsia="仿宋" w:cs="Times New Roman"/>
          <w:color w:val="auto"/>
          <w:sz w:val="28"/>
          <w:szCs w:val="28"/>
          <w:highlight w:val="none"/>
          <w:lang w:eastAsia="zh-CN"/>
        </w:rPr>
        <w:t>年</w:t>
      </w:r>
      <w:r>
        <w:rPr>
          <w:rFonts w:ascii="Times New Roman" w:hAnsi="Times New Roman" w:eastAsia="仿宋" w:cs="Times New Roman"/>
          <w:color w:val="auto"/>
          <w:sz w:val="28"/>
          <w:szCs w:val="28"/>
          <w:highlight w:val="none"/>
        </w:rPr>
        <w:t>食品安全监督抽检任务，委托</w:t>
      </w:r>
      <w:r>
        <w:rPr>
          <w:rFonts w:hint="eastAsia" w:ascii="Times New Roman" w:hAnsi="Times New Roman" w:eastAsia="仿宋" w:cs="Times New Roman"/>
          <w:color w:val="auto"/>
          <w:sz w:val="28"/>
          <w:szCs w:val="28"/>
          <w:highlight w:val="none"/>
        </w:rPr>
        <w:t>河南中测技术检测服务有限公司承</w:t>
      </w:r>
      <w:r>
        <w:rPr>
          <w:rFonts w:ascii="Times New Roman" w:hAnsi="Times New Roman" w:eastAsia="仿宋" w:cs="Times New Roman"/>
          <w:color w:val="auto"/>
          <w:sz w:val="28"/>
          <w:szCs w:val="28"/>
          <w:highlight w:val="none"/>
        </w:rPr>
        <w:t>担抽样检验工作</w:t>
      </w:r>
      <w:r>
        <w:rPr>
          <w:rFonts w:hint="eastAsia" w:ascii="Times New Roman" w:hAnsi="Times New Roman" w:eastAsia="仿宋" w:cs="Times New Roman"/>
          <w:color w:val="auto"/>
          <w:sz w:val="28"/>
          <w:szCs w:val="28"/>
          <w:highlight w:val="none"/>
        </w:rPr>
        <w:t>。</w:t>
      </w:r>
    </w:p>
    <w:p>
      <w:pPr>
        <w:pStyle w:val="5"/>
        <w:spacing w:line="360" w:lineRule="auto"/>
        <w:rPr>
          <w:rFonts w:hint="eastAsia"/>
          <w:color w:val="auto"/>
          <w:highlight w:val="none"/>
          <w:lang w:val="en-US" w:eastAsia="zh-CN"/>
        </w:rPr>
      </w:pPr>
      <w:bookmarkStart w:id="5" w:name="_Toc14982"/>
      <w:r>
        <w:rPr>
          <w:rFonts w:hint="eastAsia"/>
          <w:color w:val="auto"/>
          <w:highlight w:val="none"/>
          <w:lang w:val="en-US" w:eastAsia="zh-CN"/>
        </w:rPr>
        <w:t>1.2 抽检工作整体完成情况</w:t>
      </w:r>
      <w:bookmarkEnd w:id="5"/>
    </w:p>
    <w:p>
      <w:pPr>
        <w:ind w:firstLine="560" w:firstLineChars="200"/>
        <w:rPr>
          <w:rFonts w:ascii="Times New Roman" w:hAnsi="Times New Roman" w:eastAsia="仿宋" w:cs="Times New Roman"/>
          <w:color w:val="auto"/>
          <w:sz w:val="28"/>
          <w:szCs w:val="28"/>
          <w:highlight w:val="none"/>
        </w:rPr>
      </w:pPr>
      <w:r>
        <w:rPr>
          <w:rFonts w:hint="eastAsia" w:ascii="Times New Roman" w:hAnsi="Times New Roman" w:eastAsia="仿宋" w:cs="Times New Roman"/>
          <w:color w:val="auto"/>
          <w:sz w:val="28"/>
          <w:szCs w:val="28"/>
          <w:highlight w:val="none"/>
        </w:rPr>
        <w:t>截</w:t>
      </w:r>
      <w:r>
        <w:rPr>
          <w:rFonts w:hint="eastAsia" w:ascii="Times New Roman" w:hAnsi="Times New Roman" w:eastAsia="仿宋" w:cs="Times New Roman"/>
          <w:color w:val="auto"/>
          <w:sz w:val="28"/>
          <w:szCs w:val="28"/>
          <w:highlight w:val="none"/>
          <w:lang w:val="en-US" w:eastAsia="zh-CN"/>
        </w:rPr>
        <w:t>至</w:t>
      </w:r>
      <w:r>
        <w:rPr>
          <w:rFonts w:hint="eastAsia" w:ascii="Times New Roman" w:hAnsi="Times New Roman" w:cs="Times New Roman"/>
          <w:color w:val="auto"/>
          <w:sz w:val="28"/>
          <w:szCs w:val="28"/>
          <w:highlight w:val="none"/>
          <w:lang w:val="en-US" w:eastAsia="zh-CN"/>
        </w:rPr>
        <w:t>2022</w:t>
      </w:r>
      <w:r>
        <w:rPr>
          <w:rFonts w:hint="eastAsia" w:ascii="Times New Roman" w:hAnsi="Times New Roman" w:eastAsia="仿宋" w:cs="Times New Roman"/>
          <w:color w:val="auto"/>
          <w:sz w:val="28"/>
          <w:szCs w:val="28"/>
          <w:highlight w:val="none"/>
        </w:rPr>
        <w:t>年</w:t>
      </w:r>
      <w:r>
        <w:rPr>
          <w:rFonts w:hint="eastAsia" w:ascii="Times New Roman" w:hAnsi="Times New Roman" w:cs="Times New Roman"/>
          <w:color w:val="auto"/>
          <w:sz w:val="28"/>
          <w:szCs w:val="28"/>
          <w:highlight w:val="none"/>
          <w:lang w:val="en-US" w:eastAsia="zh-CN"/>
        </w:rPr>
        <w:t>12</w:t>
      </w:r>
      <w:r>
        <w:rPr>
          <w:rFonts w:hint="eastAsia" w:ascii="Times New Roman" w:hAnsi="Times New Roman" w:eastAsia="仿宋" w:cs="Times New Roman"/>
          <w:color w:val="auto"/>
          <w:sz w:val="28"/>
          <w:szCs w:val="28"/>
          <w:highlight w:val="none"/>
        </w:rPr>
        <w:t>月</w:t>
      </w:r>
      <w:r>
        <w:rPr>
          <w:rFonts w:hint="eastAsia" w:ascii="Times New Roman" w:hAnsi="Times New Roman" w:eastAsia="仿宋" w:cs="Times New Roman"/>
          <w:color w:val="auto"/>
          <w:sz w:val="28"/>
          <w:szCs w:val="28"/>
          <w:highlight w:val="none"/>
          <w:lang w:eastAsia="zh-CN"/>
        </w:rPr>
        <w:t>份，</w:t>
      </w:r>
      <w:r>
        <w:rPr>
          <w:rFonts w:hint="eastAsia" w:ascii="Times New Roman" w:hAnsi="Times New Roman" w:eastAsia="仿宋" w:cs="Times New Roman"/>
          <w:color w:val="auto"/>
          <w:sz w:val="28"/>
          <w:szCs w:val="28"/>
          <w:highlight w:val="none"/>
        </w:rPr>
        <w:t>河南中测技术检测服务有限公司</w:t>
      </w:r>
      <w:r>
        <w:rPr>
          <w:rFonts w:ascii="Times New Roman" w:hAnsi="Times New Roman" w:eastAsia="仿宋" w:cs="Times New Roman"/>
          <w:color w:val="auto"/>
          <w:sz w:val="28"/>
          <w:szCs w:val="28"/>
          <w:highlight w:val="none"/>
        </w:rPr>
        <w:t>承接</w:t>
      </w:r>
      <w:r>
        <w:rPr>
          <w:rFonts w:hint="eastAsia" w:ascii="Times New Roman" w:hAnsi="Times New Roman" w:eastAsia="仿宋" w:cs="Times New Roman"/>
          <w:color w:val="auto"/>
          <w:sz w:val="28"/>
          <w:szCs w:val="28"/>
          <w:highlight w:val="none"/>
          <w:lang w:val="en-US" w:eastAsia="zh-CN"/>
        </w:rPr>
        <w:t>的</w:t>
      </w:r>
      <w:r>
        <w:rPr>
          <w:rFonts w:hint="eastAsia" w:ascii="Times New Roman" w:hAnsi="Times New Roman" w:cs="Times New Roman"/>
          <w:color w:val="auto"/>
          <w:sz w:val="28"/>
          <w:szCs w:val="28"/>
          <w:highlight w:val="none"/>
          <w:lang w:eastAsia="zh-CN"/>
        </w:rPr>
        <w:t>伊川县</w:t>
      </w:r>
      <w:r>
        <w:rPr>
          <w:rFonts w:hint="eastAsia" w:ascii="Times New Roman" w:hAnsi="Times New Roman" w:eastAsia="仿宋" w:cs="Times New Roman"/>
          <w:color w:val="auto"/>
          <w:sz w:val="28"/>
          <w:szCs w:val="28"/>
          <w:highlight w:val="none"/>
          <w:lang w:eastAsia="zh-CN"/>
        </w:rPr>
        <w:t>市场监督管理局</w:t>
      </w:r>
      <w:r>
        <w:rPr>
          <w:rFonts w:hint="eastAsia" w:ascii="Times New Roman" w:hAnsi="Times New Roman" w:cs="Times New Roman"/>
          <w:color w:val="auto"/>
          <w:sz w:val="28"/>
          <w:szCs w:val="28"/>
          <w:highlight w:val="none"/>
          <w:lang w:val="en-US" w:eastAsia="zh-CN"/>
        </w:rPr>
        <w:t>2022</w:t>
      </w:r>
      <w:r>
        <w:rPr>
          <w:rFonts w:hint="eastAsia" w:ascii="Times New Roman" w:hAnsi="Times New Roman" w:eastAsia="仿宋" w:cs="Times New Roman"/>
          <w:color w:val="auto"/>
          <w:sz w:val="28"/>
          <w:szCs w:val="28"/>
          <w:highlight w:val="none"/>
          <w:lang w:eastAsia="zh-CN"/>
        </w:rPr>
        <w:t>年</w:t>
      </w:r>
      <w:r>
        <w:rPr>
          <w:rFonts w:ascii="Times New Roman" w:hAnsi="Times New Roman" w:eastAsia="仿宋" w:cs="Times New Roman"/>
          <w:color w:val="auto"/>
          <w:sz w:val="28"/>
          <w:szCs w:val="28"/>
          <w:highlight w:val="none"/>
        </w:rPr>
        <w:t>食品安全监督抽检任务已完成</w:t>
      </w:r>
      <w:r>
        <w:rPr>
          <w:rFonts w:hint="eastAsia" w:ascii="Times New Roman" w:hAnsi="Times New Roman" w:cs="Times New Roman"/>
          <w:color w:val="auto"/>
          <w:sz w:val="28"/>
          <w:szCs w:val="28"/>
          <w:highlight w:val="none"/>
          <w:lang w:val="en-US" w:eastAsia="zh-CN"/>
        </w:rPr>
        <w:t>2405</w:t>
      </w:r>
      <w:r>
        <w:rPr>
          <w:rFonts w:hint="eastAsia" w:ascii="Times New Roman" w:hAnsi="Times New Roman" w:eastAsia="仿宋" w:cs="Times New Roman"/>
          <w:color w:val="auto"/>
          <w:sz w:val="28"/>
          <w:szCs w:val="28"/>
          <w:highlight w:val="none"/>
          <w:lang w:val="en-US" w:eastAsia="zh-CN"/>
        </w:rPr>
        <w:t>批次</w:t>
      </w:r>
      <w:r>
        <w:rPr>
          <w:rFonts w:hint="eastAsia" w:ascii="Times New Roman" w:hAnsi="Times New Roman" w:eastAsia="仿宋" w:cs="Times New Roman"/>
          <w:color w:val="auto"/>
          <w:sz w:val="28"/>
          <w:szCs w:val="28"/>
          <w:highlight w:val="none"/>
        </w:rPr>
        <w:t>。</w:t>
      </w:r>
      <w:r>
        <w:rPr>
          <w:rFonts w:ascii="Times New Roman" w:hAnsi="Times New Roman" w:eastAsia="仿宋" w:cs="Times New Roman"/>
          <w:color w:val="auto"/>
          <w:sz w:val="28"/>
          <w:szCs w:val="28"/>
          <w:highlight w:val="none"/>
        </w:rPr>
        <w:t>其中合格样品</w:t>
      </w:r>
      <w:r>
        <w:rPr>
          <w:rFonts w:hint="eastAsia" w:ascii="Times New Roman" w:hAnsi="Times New Roman" w:cs="Times New Roman"/>
          <w:color w:val="auto"/>
          <w:sz w:val="28"/>
          <w:szCs w:val="28"/>
          <w:highlight w:val="none"/>
          <w:lang w:val="en-US" w:eastAsia="zh-CN"/>
        </w:rPr>
        <w:t>2342</w:t>
      </w:r>
      <w:r>
        <w:rPr>
          <w:rFonts w:ascii="Times New Roman" w:hAnsi="Times New Roman" w:eastAsia="仿宋" w:cs="Times New Roman"/>
          <w:color w:val="auto"/>
          <w:sz w:val="28"/>
          <w:szCs w:val="28"/>
          <w:highlight w:val="none"/>
        </w:rPr>
        <w:t>批</w:t>
      </w:r>
      <w:r>
        <w:rPr>
          <w:rFonts w:hint="eastAsia" w:ascii="Times New Roman" w:hAnsi="Times New Roman" w:eastAsia="仿宋" w:cs="Times New Roman"/>
          <w:color w:val="auto"/>
          <w:sz w:val="28"/>
          <w:szCs w:val="28"/>
          <w:highlight w:val="none"/>
        </w:rPr>
        <w:t>次</w:t>
      </w:r>
      <w:r>
        <w:rPr>
          <w:rFonts w:ascii="Times New Roman" w:hAnsi="Times New Roman" w:eastAsia="仿宋" w:cs="Times New Roman"/>
          <w:color w:val="auto"/>
          <w:sz w:val="28"/>
          <w:szCs w:val="28"/>
          <w:highlight w:val="none"/>
        </w:rPr>
        <w:t>，合格率为</w:t>
      </w:r>
      <w:r>
        <w:rPr>
          <w:rFonts w:hint="eastAsia" w:ascii="Times New Roman" w:hAnsi="Times New Roman" w:cs="Times New Roman"/>
          <w:color w:val="auto"/>
          <w:sz w:val="28"/>
          <w:szCs w:val="28"/>
          <w:highlight w:val="none"/>
          <w:lang w:val="en-US" w:eastAsia="zh-CN"/>
        </w:rPr>
        <w:t>97.38</w:t>
      </w:r>
      <w:r>
        <w:rPr>
          <w:rFonts w:ascii="Times New Roman" w:hAnsi="Times New Roman" w:eastAsia="仿宋" w:cs="Times New Roman"/>
          <w:color w:val="auto"/>
          <w:sz w:val="28"/>
          <w:szCs w:val="28"/>
          <w:highlight w:val="none"/>
        </w:rPr>
        <w:t>%，不合格样品</w:t>
      </w:r>
      <w:r>
        <w:rPr>
          <w:rFonts w:hint="eastAsia" w:ascii="Times New Roman" w:hAnsi="Times New Roman" w:cs="Times New Roman"/>
          <w:color w:val="auto"/>
          <w:sz w:val="28"/>
          <w:szCs w:val="28"/>
          <w:highlight w:val="none"/>
          <w:lang w:val="en-US" w:eastAsia="zh-CN"/>
        </w:rPr>
        <w:t>63</w:t>
      </w:r>
      <w:r>
        <w:rPr>
          <w:rFonts w:ascii="Times New Roman" w:hAnsi="Times New Roman" w:eastAsia="仿宋" w:cs="Times New Roman"/>
          <w:color w:val="auto"/>
          <w:sz w:val="28"/>
          <w:szCs w:val="28"/>
          <w:highlight w:val="none"/>
        </w:rPr>
        <w:t>批次，不合格率为</w:t>
      </w:r>
      <w:r>
        <w:rPr>
          <w:rFonts w:hint="eastAsia" w:ascii="Times New Roman" w:hAnsi="Times New Roman" w:cs="Times New Roman"/>
          <w:color w:val="auto"/>
          <w:sz w:val="28"/>
          <w:szCs w:val="28"/>
          <w:highlight w:val="none"/>
          <w:lang w:val="en-US" w:eastAsia="zh-CN"/>
        </w:rPr>
        <w:t>2.62</w:t>
      </w:r>
      <w:r>
        <w:rPr>
          <w:rFonts w:ascii="Times New Roman" w:hAnsi="Times New Roman" w:eastAsia="仿宋" w:cs="Times New Roman"/>
          <w:color w:val="auto"/>
          <w:sz w:val="28"/>
          <w:szCs w:val="28"/>
          <w:highlight w:val="none"/>
        </w:rPr>
        <w:t>%。</w:t>
      </w:r>
    </w:p>
    <w:p>
      <w:pPr>
        <w:pStyle w:val="5"/>
        <w:spacing w:line="360" w:lineRule="auto"/>
        <w:rPr>
          <w:rFonts w:hint="eastAsia"/>
          <w:color w:val="auto"/>
          <w:highlight w:val="none"/>
          <w:lang w:val="en-US" w:eastAsia="zh-CN"/>
        </w:rPr>
      </w:pPr>
      <w:bookmarkStart w:id="6" w:name="_Toc21370"/>
      <w:r>
        <w:rPr>
          <w:rFonts w:hint="eastAsia"/>
          <w:color w:val="auto"/>
          <w:highlight w:val="none"/>
          <w:lang w:val="en-US" w:eastAsia="zh-CN"/>
        </w:rPr>
        <w:t>1.3 抽检类别覆盖情况</w:t>
      </w:r>
      <w:bookmarkEnd w:id="6"/>
    </w:p>
    <w:p>
      <w:pPr>
        <w:spacing w:line="360" w:lineRule="auto"/>
        <w:ind w:firstLine="560" w:firstLineChars="200"/>
        <w:rPr>
          <w:rFonts w:ascii="Times New Roman" w:hAnsi="Times New Roman" w:eastAsia="仿宋" w:cs="Times New Roman"/>
          <w:color w:val="auto"/>
          <w:sz w:val="28"/>
          <w:szCs w:val="28"/>
          <w:highlight w:val="none"/>
        </w:rPr>
      </w:pPr>
      <w:r>
        <w:rPr>
          <w:rFonts w:hint="eastAsia" w:ascii="Times New Roman" w:hAnsi="Times New Roman" w:eastAsia="仿宋" w:cs="Times New Roman"/>
          <w:color w:val="auto"/>
          <w:sz w:val="28"/>
          <w:szCs w:val="28"/>
          <w:highlight w:val="none"/>
        </w:rPr>
        <w:t>河南中测技术检测服务有限公司承接</w:t>
      </w:r>
      <w:r>
        <w:rPr>
          <w:rFonts w:hint="eastAsia" w:ascii="Times New Roman" w:hAnsi="Times New Roman" w:cs="Times New Roman"/>
          <w:color w:val="auto"/>
          <w:sz w:val="28"/>
          <w:szCs w:val="28"/>
          <w:highlight w:val="none"/>
          <w:lang w:eastAsia="zh-CN"/>
        </w:rPr>
        <w:t>伊川县</w:t>
      </w:r>
      <w:r>
        <w:rPr>
          <w:rFonts w:hint="eastAsia" w:ascii="Times New Roman" w:hAnsi="Times New Roman" w:eastAsia="仿宋" w:cs="Times New Roman"/>
          <w:color w:val="auto"/>
          <w:sz w:val="28"/>
          <w:szCs w:val="28"/>
          <w:highlight w:val="none"/>
          <w:lang w:eastAsia="zh-CN"/>
        </w:rPr>
        <w:t>市场监督管理局</w:t>
      </w:r>
      <w:r>
        <w:rPr>
          <w:rFonts w:hint="eastAsia" w:ascii="Times New Roman" w:hAnsi="Times New Roman" w:cs="Times New Roman"/>
          <w:color w:val="auto"/>
          <w:sz w:val="28"/>
          <w:szCs w:val="28"/>
          <w:highlight w:val="none"/>
          <w:lang w:val="en-US" w:eastAsia="zh-CN"/>
        </w:rPr>
        <w:t>2022</w:t>
      </w:r>
      <w:r>
        <w:rPr>
          <w:rFonts w:hint="eastAsia" w:ascii="Times New Roman" w:hAnsi="Times New Roman" w:eastAsia="仿宋" w:cs="Times New Roman"/>
          <w:color w:val="auto"/>
          <w:sz w:val="28"/>
          <w:szCs w:val="28"/>
          <w:highlight w:val="none"/>
          <w:lang w:eastAsia="zh-CN"/>
        </w:rPr>
        <w:t>年</w:t>
      </w:r>
      <w:r>
        <w:rPr>
          <w:rFonts w:ascii="Times New Roman" w:hAnsi="Times New Roman" w:eastAsia="仿宋" w:cs="Times New Roman"/>
          <w:color w:val="auto"/>
          <w:sz w:val="28"/>
          <w:szCs w:val="28"/>
          <w:highlight w:val="none"/>
        </w:rPr>
        <w:t>食品安全监督抽检任务，</w:t>
      </w:r>
      <w:r>
        <w:rPr>
          <w:rFonts w:hint="eastAsia" w:ascii="Times New Roman" w:hAnsi="Times New Roman" w:eastAsia="仿宋" w:cs="Times New Roman"/>
          <w:color w:val="auto"/>
          <w:sz w:val="28"/>
          <w:szCs w:val="28"/>
          <w:highlight w:val="none"/>
        </w:rPr>
        <w:t>截</w:t>
      </w:r>
      <w:r>
        <w:rPr>
          <w:rFonts w:hint="eastAsia" w:ascii="Times New Roman" w:hAnsi="Times New Roman" w:eastAsia="仿宋" w:cs="Times New Roman"/>
          <w:color w:val="auto"/>
          <w:sz w:val="28"/>
          <w:szCs w:val="28"/>
          <w:highlight w:val="none"/>
          <w:lang w:val="en-US" w:eastAsia="zh-CN"/>
        </w:rPr>
        <w:t>至</w:t>
      </w:r>
      <w:r>
        <w:rPr>
          <w:rFonts w:hint="eastAsia" w:ascii="Times New Roman" w:hAnsi="Times New Roman" w:cs="Times New Roman"/>
          <w:color w:val="auto"/>
          <w:sz w:val="28"/>
          <w:szCs w:val="28"/>
          <w:highlight w:val="none"/>
          <w:lang w:val="en-US" w:eastAsia="zh-CN"/>
        </w:rPr>
        <w:t>2022</w:t>
      </w:r>
      <w:r>
        <w:rPr>
          <w:rFonts w:hint="eastAsia" w:ascii="Times New Roman" w:hAnsi="Times New Roman" w:eastAsia="仿宋" w:cs="Times New Roman"/>
          <w:color w:val="auto"/>
          <w:sz w:val="28"/>
          <w:szCs w:val="28"/>
          <w:highlight w:val="none"/>
        </w:rPr>
        <w:t>年</w:t>
      </w:r>
      <w:r>
        <w:rPr>
          <w:rFonts w:hint="eastAsia" w:ascii="Times New Roman" w:hAnsi="Times New Roman" w:cs="Times New Roman"/>
          <w:color w:val="auto"/>
          <w:sz w:val="28"/>
          <w:szCs w:val="28"/>
          <w:highlight w:val="none"/>
          <w:lang w:val="en-US" w:eastAsia="zh-CN"/>
        </w:rPr>
        <w:t>12</w:t>
      </w:r>
      <w:r>
        <w:rPr>
          <w:rFonts w:hint="eastAsia" w:ascii="Times New Roman" w:hAnsi="Times New Roman" w:eastAsia="仿宋" w:cs="Times New Roman"/>
          <w:color w:val="auto"/>
          <w:sz w:val="28"/>
          <w:szCs w:val="28"/>
          <w:highlight w:val="none"/>
        </w:rPr>
        <w:t>月</w:t>
      </w:r>
      <w:r>
        <w:rPr>
          <w:rFonts w:hint="eastAsia" w:ascii="Times New Roman" w:hAnsi="Times New Roman" w:eastAsia="仿宋" w:cs="Times New Roman"/>
          <w:color w:val="auto"/>
          <w:sz w:val="28"/>
          <w:szCs w:val="28"/>
          <w:highlight w:val="none"/>
          <w:lang w:eastAsia="zh-CN"/>
        </w:rPr>
        <w:t>份</w:t>
      </w:r>
      <w:r>
        <w:rPr>
          <w:rFonts w:ascii="Times New Roman" w:hAnsi="Times New Roman" w:eastAsia="仿宋" w:cs="Times New Roman"/>
          <w:color w:val="auto"/>
          <w:sz w:val="28"/>
          <w:szCs w:val="28"/>
          <w:highlight w:val="none"/>
        </w:rPr>
        <w:t>已</w:t>
      </w:r>
      <w:r>
        <w:rPr>
          <w:rFonts w:hint="eastAsia" w:ascii="Times New Roman" w:hAnsi="Times New Roman" w:eastAsia="仿宋" w:cs="Times New Roman"/>
          <w:color w:val="auto"/>
          <w:sz w:val="28"/>
          <w:szCs w:val="28"/>
          <w:highlight w:val="none"/>
          <w:lang w:val="en-US" w:eastAsia="zh-CN"/>
        </w:rPr>
        <w:t>完成</w:t>
      </w:r>
      <w:r>
        <w:rPr>
          <w:rFonts w:hint="eastAsia" w:ascii="Times New Roman" w:hAnsi="Times New Roman" w:cs="Times New Roman"/>
          <w:color w:val="auto"/>
          <w:sz w:val="28"/>
          <w:szCs w:val="28"/>
          <w:highlight w:val="none"/>
          <w:lang w:val="en-US" w:eastAsia="zh-CN"/>
        </w:rPr>
        <w:t>2405</w:t>
      </w:r>
      <w:r>
        <w:rPr>
          <w:rFonts w:hint="eastAsia" w:ascii="Times New Roman" w:hAnsi="Times New Roman" w:eastAsia="仿宋" w:cs="Times New Roman"/>
          <w:color w:val="auto"/>
          <w:sz w:val="28"/>
          <w:szCs w:val="28"/>
          <w:highlight w:val="none"/>
          <w:lang w:val="en-US" w:eastAsia="zh-CN"/>
        </w:rPr>
        <w:t>批次</w:t>
      </w:r>
      <w:r>
        <w:rPr>
          <w:rFonts w:ascii="Times New Roman" w:hAnsi="Times New Roman" w:eastAsia="仿宋" w:cs="Times New Roman"/>
          <w:color w:val="auto"/>
          <w:sz w:val="28"/>
          <w:szCs w:val="28"/>
          <w:highlight w:val="none"/>
        </w:rPr>
        <w:t>。抽检任务涵盖了</w:t>
      </w:r>
      <w:r>
        <w:rPr>
          <w:rFonts w:hint="eastAsia" w:ascii="Times New Roman" w:hAnsi="Times New Roman" w:eastAsia="仿宋" w:cs="Times New Roman"/>
          <w:color w:val="auto"/>
          <w:sz w:val="28"/>
          <w:szCs w:val="28"/>
          <w:highlight w:val="none"/>
        </w:rPr>
        <w:t>食用农产品、餐饮食品、粮食加工品、食用油、油脂及其制品、乳制品、饮料、饼干、糕点、肉制品、冷冻饮品、糖果制品、方便食品、酒类、蜂产品、调味品、水果制品、茶叶及相关制品、蛋制品、淀粉及淀粉制品、炒货食品及坚果制品、速冻食品、豆制品、薯类和膨化食品、蔬菜制品、食糖、罐头、保健食品</w:t>
      </w:r>
      <w:r>
        <w:rPr>
          <w:rFonts w:hint="eastAsia" w:ascii="Times New Roman" w:hAnsi="Times New Roman" w:eastAsia="仿宋" w:cs="Times New Roman"/>
          <w:color w:val="auto"/>
          <w:kern w:val="2"/>
          <w:sz w:val="28"/>
          <w:szCs w:val="28"/>
          <w:highlight w:val="none"/>
          <w:lang w:val="en-US" w:eastAsia="zh-CN" w:bidi="ar-SA"/>
        </w:rPr>
        <w:t>等</w:t>
      </w:r>
      <w:r>
        <w:rPr>
          <w:rFonts w:hint="eastAsia" w:ascii="Times New Roman" w:hAnsi="Times New Roman" w:cs="Times New Roman"/>
          <w:color w:val="auto"/>
          <w:kern w:val="2"/>
          <w:sz w:val="28"/>
          <w:szCs w:val="28"/>
          <w:highlight w:val="none"/>
          <w:lang w:val="en-US" w:eastAsia="zh-CN" w:bidi="ar-SA"/>
        </w:rPr>
        <w:t>27</w:t>
      </w:r>
      <w:r>
        <w:rPr>
          <w:rFonts w:hint="eastAsia" w:ascii="Times New Roman" w:hAnsi="Times New Roman" w:eastAsia="仿宋" w:cs="Times New Roman"/>
          <w:color w:val="auto"/>
          <w:kern w:val="2"/>
          <w:sz w:val="28"/>
          <w:szCs w:val="28"/>
          <w:highlight w:val="none"/>
          <w:lang w:val="en-US" w:eastAsia="zh-CN" w:bidi="ar-SA"/>
        </w:rPr>
        <w:t>个食品大类</w:t>
      </w:r>
      <w:r>
        <w:rPr>
          <w:rFonts w:hint="default" w:ascii="Times New Roman" w:hAnsi="Times New Roman" w:eastAsia="仿宋" w:cs="Times New Roman"/>
          <w:color w:val="auto"/>
          <w:kern w:val="2"/>
          <w:sz w:val="28"/>
          <w:szCs w:val="28"/>
          <w:highlight w:val="none"/>
          <w:lang w:val="en-US" w:eastAsia="zh-CN" w:bidi="ar-SA"/>
        </w:rPr>
        <w:t>，其中</w:t>
      </w:r>
      <w:r>
        <w:rPr>
          <w:rFonts w:hint="eastAsia" w:ascii="Times New Roman" w:hAnsi="Times New Roman" w:eastAsia="仿宋" w:cs="Times New Roman"/>
          <w:color w:val="auto"/>
          <w:kern w:val="2"/>
          <w:sz w:val="28"/>
          <w:szCs w:val="28"/>
          <w:highlight w:val="none"/>
          <w:lang w:val="en-US" w:eastAsia="zh-CN" w:bidi="ar-SA"/>
        </w:rPr>
        <w:t>食用农产品</w:t>
      </w:r>
      <w:r>
        <w:rPr>
          <w:rFonts w:hint="default" w:ascii="Times New Roman" w:hAnsi="Times New Roman" w:eastAsia="仿宋" w:cs="Times New Roman"/>
          <w:color w:val="auto"/>
          <w:kern w:val="2"/>
          <w:sz w:val="28"/>
          <w:szCs w:val="28"/>
          <w:highlight w:val="none"/>
          <w:lang w:val="en-US" w:eastAsia="zh-CN" w:bidi="ar-SA"/>
        </w:rPr>
        <w:t>的抽检量较大</w:t>
      </w:r>
      <w:r>
        <w:rPr>
          <w:rFonts w:ascii="Times New Roman" w:hAnsi="Times New Roman" w:eastAsia="仿宋" w:cs="Times New Roman"/>
          <w:color w:val="auto"/>
          <w:sz w:val="28"/>
          <w:szCs w:val="28"/>
          <w:highlight w:val="none"/>
        </w:rPr>
        <w:t>，抽检量占比为</w:t>
      </w:r>
      <w:r>
        <w:rPr>
          <w:rFonts w:hint="eastAsia" w:ascii="Times New Roman" w:hAnsi="Times New Roman" w:cs="Times New Roman"/>
          <w:color w:val="auto"/>
          <w:kern w:val="2"/>
          <w:sz w:val="28"/>
          <w:szCs w:val="28"/>
          <w:highlight w:val="none"/>
          <w:lang w:val="en-US" w:eastAsia="zh-CN" w:bidi="ar-SA"/>
        </w:rPr>
        <w:t>50.10%</w:t>
      </w:r>
      <w:r>
        <w:rPr>
          <w:rFonts w:ascii="Times New Roman" w:hAnsi="Times New Roman" w:eastAsia="仿宋" w:cs="Times New Roman"/>
          <w:color w:val="auto"/>
          <w:sz w:val="28"/>
          <w:szCs w:val="28"/>
          <w:highlight w:val="none"/>
        </w:rPr>
        <w:t>。各食品类别的抽检完成情况见表</w:t>
      </w:r>
      <w:r>
        <w:rPr>
          <w:rFonts w:hint="eastAsia" w:ascii="Times New Roman" w:hAnsi="Times New Roman" w:cs="Times New Roman"/>
          <w:color w:val="auto"/>
          <w:sz w:val="28"/>
          <w:szCs w:val="28"/>
          <w:highlight w:val="none"/>
          <w:lang w:val="en-US" w:eastAsia="zh-CN"/>
        </w:rPr>
        <w:t>1</w:t>
      </w:r>
      <w:r>
        <w:rPr>
          <w:rFonts w:ascii="Times New Roman" w:hAnsi="Times New Roman" w:eastAsia="仿宋" w:cs="Times New Roman"/>
          <w:color w:val="auto"/>
          <w:sz w:val="28"/>
          <w:szCs w:val="28"/>
          <w:highlight w:val="none"/>
        </w:rPr>
        <w:t>及图1。</w:t>
      </w:r>
    </w:p>
    <w:p>
      <w:pPr>
        <w:spacing w:line="360" w:lineRule="auto"/>
        <w:jc w:val="center"/>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表</w:t>
      </w:r>
      <w:r>
        <w:rPr>
          <w:rFonts w:hint="eastAsia" w:ascii="仿宋" w:hAnsi="仿宋" w:eastAsia="仿宋" w:cs="仿宋"/>
          <w:b/>
          <w:bCs/>
          <w:color w:val="auto"/>
          <w:sz w:val="28"/>
          <w:szCs w:val="28"/>
          <w:highlight w:val="none"/>
          <w:lang w:val="en-US" w:eastAsia="zh-CN"/>
        </w:rPr>
        <w:t>1</w:t>
      </w:r>
      <w:r>
        <w:rPr>
          <w:rFonts w:hint="eastAsia" w:ascii="仿宋" w:hAnsi="仿宋" w:eastAsia="仿宋" w:cs="仿宋"/>
          <w:b/>
          <w:bCs/>
          <w:color w:val="auto"/>
          <w:sz w:val="28"/>
          <w:szCs w:val="28"/>
          <w:highlight w:val="none"/>
        </w:rPr>
        <w:t xml:space="preserve"> 食品安全监督抽检完成信息汇总表</w:t>
      </w:r>
    </w:p>
    <w:tbl>
      <w:tblPr>
        <w:tblStyle w:val="18"/>
        <w:tblW w:w="76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7"/>
        <w:gridCol w:w="2558"/>
        <w:gridCol w:w="1651"/>
        <w:gridCol w:w="2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blHeader/>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序号</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bottom"/>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食品大类</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bottom"/>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抽检批次</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bottom"/>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食品大类抽检占比/%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食用农产品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1205</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50.10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餐饮食品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293</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3</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粮食加工品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130</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4</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食用油、油脂及其制品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66</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5</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乳制品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21</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6</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饮料</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68</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7</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饼干</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12</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8</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糕点</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52</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9</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肉制品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17</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冷冻饮品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11</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糖果制品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18</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12</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方便食品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39</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13</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酒类</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33</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14</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蜂产品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15</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15</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调味品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196</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16</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水果制品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22</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17</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茶叶及相关制品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29</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18</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蛋制品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13</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19</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淀粉及淀粉制品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41</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20</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炒货食品及坚果制品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11</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21</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速冻食品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8</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22</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豆制品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43</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23</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薯类和膨化食品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24</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24</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蔬菜制品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17</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25</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食糖</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19</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26</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罐头</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10</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27</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保健食品</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2</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highlight w:val="none"/>
                <w:u w:val="none"/>
                <w:lang w:val="en-US" w:eastAsia="zh-CN" w:bidi="ar"/>
              </w:rPr>
            </w:pPr>
            <w:r>
              <w:rPr>
                <w:rFonts w:hint="default" w:ascii="仿宋" w:hAnsi="仿宋" w:eastAsia="仿宋" w:cs="仿宋"/>
                <w:i w:val="0"/>
                <w:iCs w:val="0"/>
                <w:color w:val="auto"/>
                <w:kern w:val="0"/>
                <w:sz w:val="24"/>
                <w:szCs w:val="24"/>
                <w:highlight w:val="none"/>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3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bottom"/>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合计</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bottom"/>
              <w:rPr>
                <w:rFonts w:hint="default" w:ascii="仿宋" w:hAnsi="仿宋" w:eastAsia="仿宋" w:cs="仿宋"/>
                <w:i w:val="0"/>
                <w:iCs w:val="0"/>
                <w:color w:val="auto"/>
                <w:sz w:val="24"/>
                <w:szCs w:val="24"/>
                <w:highlight w:val="none"/>
                <w:u w:val="none"/>
                <w:lang w:val="en-US"/>
              </w:rPr>
            </w:pPr>
            <w:r>
              <w:rPr>
                <w:rFonts w:hint="eastAsia" w:cs="仿宋"/>
                <w:i w:val="0"/>
                <w:iCs w:val="0"/>
                <w:color w:val="auto"/>
                <w:kern w:val="0"/>
                <w:sz w:val="24"/>
                <w:szCs w:val="24"/>
                <w:highlight w:val="none"/>
                <w:u w:val="none"/>
                <w:lang w:val="en-US" w:eastAsia="zh-CN" w:bidi="ar"/>
              </w:rPr>
              <w:t>2405</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bottom"/>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100</w:t>
            </w:r>
          </w:p>
        </w:tc>
      </w:tr>
    </w:tbl>
    <w:p>
      <w:pPr>
        <w:bidi w:val="0"/>
        <w:jc w:val="center"/>
        <w:rPr>
          <w:color w:val="auto"/>
          <w:highlight w:val="none"/>
        </w:rPr>
      </w:pPr>
    </w:p>
    <w:p>
      <w:pPr>
        <w:rPr>
          <w:color w:val="auto"/>
          <w:highlight w:val="none"/>
        </w:rPr>
      </w:pPr>
    </w:p>
    <w:p>
      <w:pPr>
        <w:spacing w:line="360" w:lineRule="auto"/>
        <w:ind w:left="-28" w:leftChars="-95" w:hanging="200" w:firstLineChars="0"/>
        <w:jc w:val="center"/>
        <w:rPr>
          <w:rFonts w:hint="eastAsia" w:ascii="Times New Roman" w:hAnsi="Times New Roman" w:eastAsia="仿宋" w:cs="Times New Roman"/>
          <w:b/>
          <w:bCs/>
          <w:color w:val="auto"/>
          <w:sz w:val="24"/>
          <w:szCs w:val="24"/>
          <w:highlight w:val="none"/>
          <w:lang w:eastAsia="zh-CN"/>
        </w:rPr>
      </w:pPr>
      <w:r>
        <w:rPr>
          <w:highlight w:val="none"/>
        </w:rPr>
        <w:drawing>
          <wp:inline distT="0" distB="0" distL="114300" distR="114300">
            <wp:extent cx="5555615" cy="3592195"/>
            <wp:effectExtent l="4445" t="4445" r="21590" b="2286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360" w:lineRule="auto"/>
        <w:ind w:left="-28" w:leftChars="-95" w:hanging="200" w:firstLineChars="0"/>
        <w:jc w:val="center"/>
        <w:rPr>
          <w:rFonts w:ascii="Times New Roman" w:hAnsi="Times New Roman" w:eastAsia="仿宋" w:cs="Times New Roman"/>
          <w:b/>
          <w:bCs/>
          <w:color w:val="auto"/>
          <w:sz w:val="24"/>
          <w:szCs w:val="24"/>
          <w:highlight w:val="none"/>
        </w:rPr>
      </w:pPr>
      <w:r>
        <w:rPr>
          <w:rFonts w:ascii="Times New Roman" w:hAnsi="Times New Roman" w:eastAsia="仿宋" w:cs="Times New Roman"/>
          <w:b/>
          <w:bCs/>
          <w:color w:val="auto"/>
          <w:sz w:val="24"/>
          <w:szCs w:val="24"/>
          <w:highlight w:val="none"/>
        </w:rPr>
        <w:t>图1 食品安全监督抽检类别分布情况</w:t>
      </w:r>
    </w:p>
    <w:p>
      <w:pPr>
        <w:pStyle w:val="5"/>
        <w:spacing w:line="360" w:lineRule="auto"/>
        <w:rPr>
          <w:rFonts w:hint="eastAsia"/>
          <w:color w:val="auto"/>
          <w:highlight w:val="none"/>
          <w:lang w:val="en-US" w:eastAsia="zh-CN"/>
        </w:rPr>
      </w:pPr>
      <w:bookmarkStart w:id="7" w:name="_Toc32571"/>
      <w:r>
        <w:rPr>
          <w:rFonts w:hint="eastAsia"/>
          <w:color w:val="auto"/>
          <w:highlight w:val="none"/>
          <w:lang w:val="en-US" w:eastAsia="zh-CN"/>
        </w:rPr>
        <w:t>1.4 抽检环节覆盖情况</w:t>
      </w:r>
      <w:bookmarkEnd w:id="7"/>
    </w:p>
    <w:p>
      <w:pPr>
        <w:pStyle w:val="2"/>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ascii="Times New Roman" w:hAnsi="Times New Roman" w:eastAsia="仿宋" w:cs="Times New Roman"/>
          <w:b/>
          <w:bCs/>
          <w:color w:val="auto"/>
          <w:sz w:val="24"/>
          <w:szCs w:val="24"/>
          <w:highlight w:val="none"/>
        </w:rPr>
      </w:pPr>
      <w:r>
        <w:rPr>
          <w:rFonts w:hint="eastAsia" w:ascii="Times New Roman" w:hAnsi="Times New Roman" w:eastAsia="仿宋" w:cs="Times New Roman"/>
          <w:color w:val="auto"/>
          <w:sz w:val="28"/>
          <w:szCs w:val="28"/>
          <w:highlight w:val="none"/>
        </w:rPr>
        <w:t>河南中测技术检测服务有限公司</w:t>
      </w:r>
      <w:r>
        <w:rPr>
          <w:rFonts w:ascii="Times New Roman" w:hAnsi="Times New Roman" w:eastAsia="仿宋"/>
          <w:color w:val="auto"/>
          <w:sz w:val="28"/>
          <w:szCs w:val="28"/>
          <w:highlight w:val="none"/>
        </w:rPr>
        <w:t>承接</w:t>
      </w:r>
      <w:r>
        <w:rPr>
          <w:rFonts w:hint="eastAsia" w:ascii="Times New Roman" w:hAnsi="Times New Roman" w:eastAsia="仿宋"/>
          <w:color w:val="auto"/>
          <w:sz w:val="28"/>
          <w:szCs w:val="28"/>
          <w:highlight w:val="none"/>
        </w:rPr>
        <w:t>的</w:t>
      </w:r>
      <w:r>
        <w:rPr>
          <w:rFonts w:hint="eastAsia" w:ascii="Times New Roman" w:hAnsi="Times New Roman" w:eastAsia="仿宋"/>
          <w:color w:val="auto"/>
          <w:sz w:val="28"/>
          <w:szCs w:val="28"/>
          <w:highlight w:val="none"/>
          <w:lang w:eastAsia="zh-CN"/>
        </w:rPr>
        <w:t>伊川县市场监督管理局</w:t>
      </w:r>
      <w:r>
        <w:rPr>
          <w:rFonts w:hint="eastAsia" w:ascii="Times New Roman" w:hAnsi="Times New Roman" w:eastAsia="仿宋" w:cs="Times New Roman"/>
          <w:color w:val="auto"/>
          <w:sz w:val="28"/>
          <w:szCs w:val="28"/>
          <w:highlight w:val="none"/>
          <w:lang w:val="en-US" w:eastAsia="zh-CN"/>
        </w:rPr>
        <w:t>2022</w:t>
      </w:r>
      <w:r>
        <w:rPr>
          <w:rFonts w:hint="eastAsia" w:ascii="Times New Roman" w:hAnsi="Times New Roman" w:eastAsia="仿宋" w:cs="Times New Roman"/>
          <w:color w:val="auto"/>
          <w:sz w:val="28"/>
          <w:szCs w:val="28"/>
          <w:highlight w:val="none"/>
          <w:lang w:eastAsia="zh-CN"/>
        </w:rPr>
        <w:t>年</w:t>
      </w:r>
      <w:r>
        <w:rPr>
          <w:rFonts w:ascii="Times New Roman" w:hAnsi="Times New Roman" w:eastAsia="仿宋"/>
          <w:color w:val="auto"/>
          <w:sz w:val="28"/>
          <w:szCs w:val="28"/>
          <w:highlight w:val="none"/>
        </w:rPr>
        <w:t>食品安全监督抽检任务主要集中对辖区</w:t>
      </w:r>
      <w:r>
        <w:rPr>
          <w:rFonts w:hint="eastAsia" w:ascii="Times New Roman" w:hAnsi="Times New Roman" w:eastAsia="仿宋"/>
          <w:color w:val="auto"/>
          <w:sz w:val="28"/>
          <w:szCs w:val="28"/>
          <w:highlight w:val="none"/>
          <w:lang w:val="en-US" w:eastAsia="zh-CN"/>
        </w:rPr>
        <w:t>3</w:t>
      </w:r>
      <w:r>
        <w:rPr>
          <w:rFonts w:hint="eastAsia" w:ascii="Times New Roman" w:hAnsi="Times New Roman" w:eastAsia="仿宋"/>
          <w:color w:val="auto"/>
          <w:sz w:val="28"/>
          <w:szCs w:val="28"/>
          <w:highlight w:val="none"/>
        </w:rPr>
        <w:t>个</w:t>
      </w:r>
      <w:r>
        <w:rPr>
          <w:rFonts w:hint="eastAsia" w:ascii="Times New Roman" w:hAnsi="Times New Roman" w:eastAsia="仿宋"/>
          <w:color w:val="auto"/>
          <w:sz w:val="28"/>
          <w:szCs w:val="28"/>
          <w:highlight w:val="none"/>
          <w:lang w:eastAsia="zh-CN"/>
        </w:rPr>
        <w:t>环节</w:t>
      </w:r>
      <w:r>
        <w:rPr>
          <w:rFonts w:ascii="Times New Roman" w:hAnsi="Times New Roman" w:eastAsia="仿宋"/>
          <w:color w:val="auto"/>
          <w:sz w:val="28"/>
          <w:szCs w:val="28"/>
          <w:highlight w:val="none"/>
        </w:rPr>
        <w:t>进行抽检，其中</w:t>
      </w:r>
      <w:r>
        <w:rPr>
          <w:rFonts w:hint="eastAsia" w:ascii="Times New Roman" w:hAnsi="Times New Roman" w:eastAsia="仿宋"/>
          <w:color w:val="auto"/>
          <w:sz w:val="28"/>
          <w:szCs w:val="28"/>
          <w:highlight w:val="none"/>
          <w:lang w:eastAsia="zh-CN"/>
        </w:rPr>
        <w:t>流通环节</w:t>
      </w:r>
      <w:r>
        <w:rPr>
          <w:rFonts w:ascii="Times New Roman" w:hAnsi="Times New Roman" w:eastAsia="仿宋"/>
          <w:color w:val="auto"/>
          <w:sz w:val="28"/>
          <w:szCs w:val="28"/>
          <w:highlight w:val="none"/>
        </w:rPr>
        <w:t>抽检量</w:t>
      </w:r>
      <w:r>
        <w:rPr>
          <w:rFonts w:hint="eastAsia" w:ascii="Times New Roman" w:hAnsi="Times New Roman" w:eastAsia="仿宋"/>
          <w:color w:val="auto"/>
          <w:sz w:val="28"/>
          <w:szCs w:val="28"/>
          <w:highlight w:val="none"/>
        </w:rPr>
        <w:t>最</w:t>
      </w:r>
      <w:r>
        <w:rPr>
          <w:rFonts w:ascii="Times New Roman" w:hAnsi="Times New Roman" w:eastAsia="仿宋"/>
          <w:color w:val="auto"/>
          <w:sz w:val="28"/>
          <w:szCs w:val="28"/>
          <w:highlight w:val="none"/>
        </w:rPr>
        <w:t>大，抽检批次为</w:t>
      </w:r>
      <w:r>
        <w:rPr>
          <w:rFonts w:hint="eastAsia" w:ascii="Times New Roman" w:hAnsi="Times New Roman" w:eastAsia="仿宋"/>
          <w:color w:val="auto"/>
          <w:sz w:val="28"/>
          <w:szCs w:val="28"/>
          <w:highlight w:val="none"/>
          <w:lang w:val="en-US" w:eastAsia="zh-CN"/>
        </w:rPr>
        <w:t>1916</w:t>
      </w:r>
      <w:r>
        <w:rPr>
          <w:rFonts w:ascii="Times New Roman" w:hAnsi="Times New Roman" w:eastAsia="仿宋"/>
          <w:color w:val="auto"/>
          <w:kern w:val="0"/>
          <w:sz w:val="28"/>
          <w:szCs w:val="28"/>
          <w:highlight w:val="none"/>
          <w:lang w:bidi="ar"/>
        </w:rPr>
        <w:t>批</w:t>
      </w:r>
      <w:r>
        <w:rPr>
          <w:rFonts w:hint="eastAsia" w:ascii="Times New Roman" w:hAnsi="Times New Roman" w:eastAsia="仿宋"/>
          <w:color w:val="auto"/>
          <w:kern w:val="0"/>
          <w:sz w:val="28"/>
          <w:szCs w:val="28"/>
          <w:highlight w:val="none"/>
          <w:lang w:eastAsia="zh-CN" w:bidi="ar"/>
        </w:rPr>
        <w:t>次</w:t>
      </w:r>
      <w:r>
        <w:rPr>
          <w:rFonts w:hint="eastAsia" w:ascii="Times New Roman" w:hAnsi="Times New Roman" w:eastAsia="仿宋"/>
          <w:color w:val="auto"/>
          <w:kern w:val="0"/>
          <w:sz w:val="28"/>
          <w:szCs w:val="28"/>
          <w:highlight w:val="none"/>
          <w:lang w:bidi="ar"/>
        </w:rPr>
        <w:t>，</w:t>
      </w:r>
      <w:r>
        <w:rPr>
          <w:rFonts w:ascii="Times New Roman" w:hAnsi="Times New Roman" w:eastAsia="仿宋"/>
          <w:color w:val="auto"/>
          <w:sz w:val="28"/>
          <w:szCs w:val="28"/>
          <w:highlight w:val="none"/>
        </w:rPr>
        <w:t>抽检占比</w:t>
      </w:r>
      <w:r>
        <w:rPr>
          <w:rFonts w:hint="eastAsia" w:ascii="Times New Roman" w:hAnsi="Times New Roman" w:eastAsia="仿宋"/>
          <w:color w:val="auto"/>
          <w:kern w:val="0"/>
          <w:sz w:val="28"/>
          <w:szCs w:val="28"/>
          <w:highlight w:val="none"/>
          <w:lang w:val="en-US" w:eastAsia="zh-CN" w:bidi="ar"/>
        </w:rPr>
        <w:t>79.67</w:t>
      </w:r>
      <w:r>
        <w:rPr>
          <w:rFonts w:ascii="Times New Roman" w:hAnsi="Times New Roman" w:eastAsia="仿宋"/>
          <w:color w:val="auto"/>
          <w:sz w:val="28"/>
          <w:szCs w:val="28"/>
          <w:highlight w:val="none"/>
        </w:rPr>
        <w:t>%。</w:t>
      </w:r>
      <w:r>
        <w:rPr>
          <w:rFonts w:ascii="Times New Roman" w:hAnsi="Times New Roman" w:eastAsia="仿宋"/>
          <w:color w:val="auto"/>
          <w:kern w:val="0"/>
          <w:sz w:val="28"/>
          <w:szCs w:val="28"/>
          <w:highlight w:val="none"/>
        </w:rPr>
        <w:t>各</w:t>
      </w:r>
      <w:r>
        <w:rPr>
          <w:rFonts w:hint="eastAsia" w:ascii="Times New Roman" w:hAnsi="Times New Roman" w:eastAsia="仿宋"/>
          <w:color w:val="auto"/>
          <w:kern w:val="0"/>
          <w:sz w:val="28"/>
          <w:szCs w:val="28"/>
          <w:highlight w:val="none"/>
          <w:lang w:eastAsia="zh-CN"/>
        </w:rPr>
        <w:t>环节</w:t>
      </w:r>
      <w:r>
        <w:rPr>
          <w:rFonts w:ascii="Times New Roman" w:hAnsi="Times New Roman" w:eastAsia="仿宋"/>
          <w:color w:val="auto"/>
          <w:kern w:val="0"/>
          <w:sz w:val="28"/>
          <w:szCs w:val="28"/>
          <w:highlight w:val="none"/>
        </w:rPr>
        <w:t>抽检分布情况如表</w:t>
      </w:r>
      <w:r>
        <w:rPr>
          <w:rFonts w:hint="eastAsia" w:ascii="Times New Roman" w:hAnsi="Times New Roman" w:eastAsia="仿宋"/>
          <w:color w:val="auto"/>
          <w:kern w:val="0"/>
          <w:sz w:val="28"/>
          <w:szCs w:val="28"/>
          <w:highlight w:val="none"/>
          <w:lang w:val="en-US" w:eastAsia="zh-CN"/>
        </w:rPr>
        <w:t>2</w:t>
      </w:r>
      <w:r>
        <w:rPr>
          <w:rFonts w:ascii="Times New Roman" w:hAnsi="Times New Roman" w:eastAsia="仿宋"/>
          <w:color w:val="auto"/>
          <w:kern w:val="0"/>
          <w:sz w:val="28"/>
          <w:szCs w:val="28"/>
          <w:highlight w:val="none"/>
        </w:rPr>
        <w:t>和图2所示。</w:t>
      </w:r>
    </w:p>
    <w:p>
      <w:pPr>
        <w:spacing w:line="360" w:lineRule="auto"/>
        <w:ind w:firstLine="198"/>
        <w:jc w:val="center"/>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表</w:t>
      </w:r>
      <w:r>
        <w:rPr>
          <w:rFonts w:hint="eastAsia" w:ascii="仿宋" w:hAnsi="仿宋" w:eastAsia="仿宋" w:cs="仿宋"/>
          <w:b/>
          <w:bCs/>
          <w:color w:val="auto"/>
          <w:sz w:val="28"/>
          <w:szCs w:val="28"/>
          <w:highlight w:val="none"/>
          <w:lang w:val="en-US" w:eastAsia="zh-CN"/>
        </w:rPr>
        <w:t>2</w:t>
      </w:r>
      <w:r>
        <w:rPr>
          <w:rFonts w:hint="eastAsia" w:ascii="仿宋" w:hAnsi="仿宋" w:eastAsia="仿宋" w:cs="仿宋"/>
          <w:b/>
          <w:bCs/>
          <w:color w:val="auto"/>
          <w:sz w:val="28"/>
          <w:szCs w:val="28"/>
          <w:highlight w:val="none"/>
        </w:rPr>
        <w:t xml:space="preserve"> 食品安全监督</w:t>
      </w:r>
      <w:r>
        <w:rPr>
          <w:rFonts w:hint="eastAsia" w:ascii="仿宋" w:hAnsi="仿宋" w:eastAsia="仿宋" w:cs="仿宋"/>
          <w:b/>
          <w:bCs/>
          <w:color w:val="auto"/>
          <w:sz w:val="28"/>
          <w:szCs w:val="28"/>
          <w:highlight w:val="none"/>
          <w:lang w:eastAsia="zh-CN"/>
        </w:rPr>
        <w:t>抽</w:t>
      </w:r>
      <w:r>
        <w:rPr>
          <w:rFonts w:hint="eastAsia" w:cs="仿宋"/>
          <w:b/>
          <w:bCs/>
          <w:color w:val="auto"/>
          <w:sz w:val="28"/>
          <w:szCs w:val="28"/>
          <w:highlight w:val="none"/>
          <w:lang w:eastAsia="zh-CN"/>
        </w:rPr>
        <w:t>检</w:t>
      </w:r>
      <w:r>
        <w:rPr>
          <w:rFonts w:hint="eastAsia" w:ascii="仿宋" w:hAnsi="仿宋" w:eastAsia="仿宋" w:cs="仿宋"/>
          <w:b/>
          <w:bCs/>
          <w:color w:val="auto"/>
          <w:sz w:val="28"/>
          <w:szCs w:val="28"/>
          <w:highlight w:val="none"/>
          <w:lang w:eastAsia="zh-CN"/>
        </w:rPr>
        <w:t>环节</w:t>
      </w:r>
      <w:r>
        <w:rPr>
          <w:rFonts w:hint="eastAsia" w:ascii="仿宋" w:hAnsi="仿宋" w:eastAsia="仿宋" w:cs="仿宋"/>
          <w:b/>
          <w:bCs/>
          <w:color w:val="auto"/>
          <w:sz w:val="28"/>
          <w:szCs w:val="28"/>
          <w:highlight w:val="none"/>
        </w:rPr>
        <w:t>信息汇总表</w:t>
      </w:r>
    </w:p>
    <w:tbl>
      <w:tblPr>
        <w:tblStyle w:val="18"/>
        <w:tblW w:w="81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1"/>
        <w:gridCol w:w="2498"/>
        <w:gridCol w:w="2235"/>
        <w:gridCol w:w="25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blHeader/>
          <w:jc w:val="center"/>
        </w:trPr>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序号</w:t>
            </w:r>
          </w:p>
        </w:tc>
        <w:tc>
          <w:tcPr>
            <w:tcW w:w="24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抽样环节</w:t>
            </w:r>
          </w:p>
        </w:tc>
        <w:tc>
          <w:tcPr>
            <w:tcW w:w="22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抽检批次</w:t>
            </w:r>
          </w:p>
        </w:tc>
        <w:tc>
          <w:tcPr>
            <w:tcW w:w="25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抽检占比/%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c>
          <w:tcPr>
            <w:tcW w:w="24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餐饮</w:t>
            </w:r>
          </w:p>
        </w:tc>
        <w:tc>
          <w:tcPr>
            <w:tcW w:w="22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470</w:t>
            </w:r>
          </w:p>
        </w:tc>
        <w:tc>
          <w:tcPr>
            <w:tcW w:w="25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19.54%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w:t>
            </w:r>
          </w:p>
        </w:tc>
        <w:tc>
          <w:tcPr>
            <w:tcW w:w="24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流通</w:t>
            </w:r>
          </w:p>
        </w:tc>
        <w:tc>
          <w:tcPr>
            <w:tcW w:w="22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1916</w:t>
            </w:r>
          </w:p>
        </w:tc>
        <w:tc>
          <w:tcPr>
            <w:tcW w:w="25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79.67%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8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2"/>
                <w:sz w:val="24"/>
                <w:szCs w:val="24"/>
                <w:highlight w:val="none"/>
                <w:u w:val="none"/>
                <w:lang w:val="en-US" w:eastAsia="zh-CN" w:bidi="ar-SA"/>
              </w:rPr>
            </w:pPr>
            <w:r>
              <w:rPr>
                <w:rFonts w:hint="eastAsia" w:cs="仿宋"/>
                <w:i w:val="0"/>
                <w:iCs w:val="0"/>
                <w:color w:val="auto"/>
                <w:kern w:val="0"/>
                <w:sz w:val="24"/>
                <w:szCs w:val="24"/>
                <w:highlight w:val="none"/>
                <w:u w:val="none"/>
                <w:lang w:val="en-US" w:eastAsia="zh-CN" w:bidi="ar"/>
              </w:rPr>
              <w:t>3</w:t>
            </w:r>
          </w:p>
        </w:tc>
        <w:tc>
          <w:tcPr>
            <w:tcW w:w="24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生产</w:t>
            </w:r>
          </w:p>
        </w:tc>
        <w:tc>
          <w:tcPr>
            <w:tcW w:w="22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19</w:t>
            </w:r>
          </w:p>
        </w:tc>
        <w:tc>
          <w:tcPr>
            <w:tcW w:w="25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0"/>
                <w:sz w:val="24"/>
                <w:szCs w:val="24"/>
                <w:highlight w:val="none"/>
                <w:u w:val="none"/>
                <w:lang w:val="en-US" w:eastAsia="zh-CN" w:bidi="ar"/>
              </w:rPr>
            </w:pPr>
            <w:r>
              <w:rPr>
                <w:rFonts w:hint="default" w:cs="仿宋"/>
                <w:i w:val="0"/>
                <w:iCs w:val="0"/>
                <w:color w:val="auto"/>
                <w:kern w:val="0"/>
                <w:sz w:val="24"/>
                <w:szCs w:val="24"/>
                <w:highlight w:val="none"/>
                <w:u w:val="none"/>
                <w:lang w:val="en-US" w:eastAsia="zh-CN" w:bidi="ar"/>
              </w:rPr>
              <w:t>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33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24"/>
                <w:szCs w:val="24"/>
                <w:highlight w:val="none"/>
                <w:u w:val="none"/>
                <w:lang w:val="en-US" w:eastAsia="zh-CN" w:bidi="ar"/>
              </w:rPr>
            </w:pPr>
            <w:r>
              <w:rPr>
                <w:rFonts w:hint="eastAsia" w:cs="仿宋"/>
                <w:b/>
                <w:bCs/>
                <w:i w:val="0"/>
                <w:iCs w:val="0"/>
                <w:color w:val="auto"/>
                <w:kern w:val="0"/>
                <w:sz w:val="24"/>
                <w:szCs w:val="24"/>
                <w:highlight w:val="none"/>
                <w:u w:val="none"/>
                <w:lang w:val="en-US" w:eastAsia="zh-CN" w:bidi="ar"/>
              </w:rPr>
              <w:t>合计</w:t>
            </w:r>
          </w:p>
        </w:tc>
        <w:tc>
          <w:tcPr>
            <w:tcW w:w="22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2405</w:t>
            </w:r>
          </w:p>
        </w:tc>
        <w:tc>
          <w:tcPr>
            <w:tcW w:w="25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100%</w:t>
            </w:r>
          </w:p>
        </w:tc>
      </w:tr>
    </w:tbl>
    <w:p>
      <w:pPr>
        <w:rPr>
          <w:color w:val="auto"/>
          <w:sz w:val="15"/>
          <w:szCs w:val="13"/>
          <w:highlight w:val="none"/>
        </w:rPr>
      </w:pPr>
    </w:p>
    <w:p>
      <w:pPr>
        <w:pStyle w:val="17"/>
        <w:ind w:left="-480" w:leftChars="-200" w:firstLine="480" w:firstLineChars="200"/>
        <w:jc w:val="center"/>
        <w:rPr>
          <w:rFonts w:hint="eastAsia" w:eastAsiaTheme="minorEastAsia"/>
          <w:color w:val="auto"/>
          <w:highlight w:val="none"/>
          <w:lang w:eastAsia="zh-CN"/>
        </w:rPr>
      </w:pPr>
      <w:r>
        <w:rPr>
          <w:highlight w:val="none"/>
        </w:rPr>
        <w:drawing>
          <wp:inline distT="0" distB="0" distL="114300" distR="114300">
            <wp:extent cx="5248275" cy="3437890"/>
            <wp:effectExtent l="4445" t="4445" r="5080" b="5715"/>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360" w:lineRule="auto"/>
        <w:jc w:val="center"/>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图2 食品安全监督</w:t>
      </w:r>
      <w:r>
        <w:rPr>
          <w:rFonts w:hint="eastAsia" w:ascii="仿宋" w:hAnsi="仿宋" w:eastAsia="仿宋" w:cs="仿宋"/>
          <w:b/>
          <w:bCs/>
          <w:color w:val="auto"/>
          <w:sz w:val="28"/>
          <w:szCs w:val="28"/>
          <w:highlight w:val="none"/>
          <w:lang w:eastAsia="zh-CN"/>
        </w:rPr>
        <w:t>抽</w:t>
      </w:r>
      <w:r>
        <w:rPr>
          <w:rFonts w:hint="eastAsia" w:cs="仿宋"/>
          <w:b/>
          <w:bCs/>
          <w:color w:val="auto"/>
          <w:sz w:val="28"/>
          <w:szCs w:val="28"/>
          <w:highlight w:val="none"/>
          <w:lang w:eastAsia="zh-CN"/>
        </w:rPr>
        <w:t>检</w:t>
      </w:r>
      <w:r>
        <w:rPr>
          <w:rFonts w:hint="eastAsia" w:ascii="仿宋" w:hAnsi="仿宋" w:eastAsia="仿宋" w:cs="仿宋"/>
          <w:b/>
          <w:bCs/>
          <w:color w:val="auto"/>
          <w:sz w:val="28"/>
          <w:szCs w:val="28"/>
          <w:highlight w:val="none"/>
          <w:lang w:eastAsia="zh-CN"/>
        </w:rPr>
        <w:t>环节</w:t>
      </w:r>
      <w:r>
        <w:rPr>
          <w:rFonts w:hint="eastAsia" w:ascii="仿宋" w:hAnsi="仿宋" w:eastAsia="仿宋" w:cs="仿宋"/>
          <w:b/>
          <w:bCs/>
          <w:color w:val="auto"/>
          <w:sz w:val="28"/>
          <w:szCs w:val="28"/>
          <w:highlight w:val="none"/>
        </w:rPr>
        <w:t>分布情况</w:t>
      </w:r>
    </w:p>
    <w:p>
      <w:pPr>
        <w:widowControl/>
        <w:jc w:val="left"/>
        <w:rPr>
          <w:rFonts w:ascii="Times New Roman" w:hAnsi="Times New Roman" w:eastAsia="仿宋" w:cs="Times New Roman"/>
          <w:b/>
          <w:bCs/>
          <w:color w:val="auto"/>
          <w:kern w:val="44"/>
          <w:sz w:val="32"/>
          <w:szCs w:val="32"/>
          <w:highlight w:val="none"/>
        </w:rPr>
      </w:pPr>
      <w:r>
        <w:rPr>
          <w:rFonts w:ascii="Times New Roman" w:hAnsi="Times New Roman" w:eastAsia="仿宋"/>
          <w:color w:val="auto"/>
          <w:sz w:val="32"/>
          <w:szCs w:val="32"/>
          <w:highlight w:val="none"/>
        </w:rPr>
        <w:br w:type="page"/>
      </w:r>
    </w:p>
    <w:p>
      <w:pPr>
        <w:pStyle w:val="4"/>
        <w:pageBreakBefore/>
        <w:tabs>
          <w:tab w:val="left" w:pos="1875"/>
          <w:tab w:val="center" w:pos="4153"/>
          <w:tab w:val="left" w:pos="6525"/>
        </w:tabs>
        <w:spacing w:before="156" w:beforeLines="50" w:after="156" w:afterLines="50" w:line="600" w:lineRule="auto"/>
        <w:rPr>
          <w:rFonts w:ascii="Times New Roman" w:hAnsi="Times New Roman" w:eastAsia="仿宋"/>
          <w:color w:val="auto"/>
          <w:sz w:val="32"/>
          <w:szCs w:val="32"/>
          <w:highlight w:val="none"/>
        </w:rPr>
      </w:pPr>
      <w:bookmarkStart w:id="8" w:name="_Toc29521"/>
      <w:r>
        <w:rPr>
          <w:rFonts w:ascii="Times New Roman" w:hAnsi="Times New Roman" w:eastAsia="仿宋"/>
          <w:color w:val="auto"/>
          <w:sz w:val="32"/>
          <w:szCs w:val="32"/>
          <w:highlight w:val="none"/>
        </w:rPr>
        <w:t>第</w:t>
      </w:r>
      <w:r>
        <w:rPr>
          <w:rFonts w:hint="eastAsia" w:ascii="Times New Roman" w:hAnsi="Times New Roman" w:eastAsia="仿宋"/>
          <w:color w:val="auto"/>
          <w:sz w:val="32"/>
          <w:szCs w:val="32"/>
          <w:highlight w:val="none"/>
        </w:rPr>
        <w:t>二</w:t>
      </w:r>
      <w:r>
        <w:rPr>
          <w:rFonts w:ascii="Times New Roman" w:hAnsi="Times New Roman" w:eastAsia="仿宋"/>
          <w:color w:val="auto"/>
          <w:sz w:val="32"/>
          <w:szCs w:val="32"/>
          <w:highlight w:val="none"/>
        </w:rPr>
        <w:t>部分  抽检</w:t>
      </w:r>
      <w:r>
        <w:rPr>
          <w:rFonts w:hint="eastAsia" w:ascii="Times New Roman" w:hAnsi="Times New Roman" w:eastAsia="仿宋"/>
          <w:color w:val="auto"/>
          <w:sz w:val="32"/>
          <w:szCs w:val="32"/>
          <w:highlight w:val="none"/>
        </w:rPr>
        <w:t>结果分析</w:t>
      </w:r>
      <w:bookmarkEnd w:id="8"/>
    </w:p>
    <w:p>
      <w:pPr>
        <w:pStyle w:val="5"/>
        <w:spacing w:line="360" w:lineRule="auto"/>
        <w:rPr>
          <w:color w:val="auto"/>
          <w:highlight w:val="none"/>
        </w:rPr>
      </w:pPr>
      <w:bookmarkStart w:id="9" w:name="_Toc24436"/>
      <w:r>
        <w:rPr>
          <w:rFonts w:hint="eastAsia"/>
          <w:color w:val="auto"/>
          <w:highlight w:val="none"/>
          <w:lang w:val="en-US" w:eastAsia="zh-CN"/>
        </w:rPr>
        <w:t xml:space="preserve">2.1 </w:t>
      </w:r>
      <w:r>
        <w:rPr>
          <w:rFonts w:hint="eastAsia"/>
          <w:color w:val="auto"/>
          <w:highlight w:val="none"/>
        </w:rPr>
        <w:t>总体抽检</w:t>
      </w:r>
      <w:r>
        <w:rPr>
          <w:color w:val="auto"/>
          <w:highlight w:val="none"/>
        </w:rPr>
        <w:t>结果分析</w:t>
      </w:r>
      <w:bookmarkEnd w:id="9"/>
    </w:p>
    <w:p>
      <w:pPr>
        <w:ind w:firstLine="560" w:firstLineChars="200"/>
        <w:rPr>
          <w:rFonts w:ascii="Times New Roman" w:hAnsi="Times New Roman" w:eastAsia="仿宋" w:cs="Times New Roman"/>
          <w:color w:val="auto"/>
          <w:sz w:val="28"/>
          <w:szCs w:val="28"/>
          <w:highlight w:val="none"/>
        </w:rPr>
      </w:pPr>
      <w:r>
        <w:rPr>
          <w:rFonts w:hint="eastAsia" w:ascii="Times New Roman" w:hAnsi="Times New Roman" w:eastAsia="仿宋" w:cs="Times New Roman"/>
          <w:color w:val="auto"/>
          <w:sz w:val="28"/>
          <w:szCs w:val="28"/>
          <w:highlight w:val="none"/>
        </w:rPr>
        <w:t>河南中测技术检测服务有限公司</w:t>
      </w:r>
      <w:r>
        <w:rPr>
          <w:rFonts w:ascii="Times New Roman" w:hAnsi="Times New Roman" w:eastAsia="仿宋"/>
          <w:color w:val="auto"/>
          <w:sz w:val="28"/>
          <w:szCs w:val="28"/>
          <w:highlight w:val="none"/>
        </w:rPr>
        <w:t>承接</w:t>
      </w:r>
      <w:r>
        <w:rPr>
          <w:rFonts w:hint="eastAsia" w:ascii="Times New Roman" w:hAnsi="Times New Roman" w:cs="Times New Roman"/>
          <w:color w:val="auto"/>
          <w:sz w:val="28"/>
          <w:szCs w:val="28"/>
          <w:highlight w:val="none"/>
          <w:lang w:eastAsia="zh-CN"/>
        </w:rPr>
        <w:t>伊川县</w:t>
      </w:r>
      <w:r>
        <w:rPr>
          <w:rFonts w:hint="eastAsia" w:ascii="Times New Roman" w:hAnsi="Times New Roman" w:eastAsia="仿宋" w:cs="Times New Roman"/>
          <w:color w:val="auto"/>
          <w:sz w:val="28"/>
          <w:szCs w:val="28"/>
          <w:highlight w:val="none"/>
          <w:lang w:eastAsia="zh-CN"/>
        </w:rPr>
        <w:t>市场监督管理局</w:t>
      </w:r>
      <w:r>
        <w:rPr>
          <w:rFonts w:hint="eastAsia" w:ascii="Times New Roman" w:hAnsi="Times New Roman" w:cs="Times New Roman"/>
          <w:color w:val="auto"/>
          <w:sz w:val="28"/>
          <w:szCs w:val="28"/>
          <w:highlight w:val="none"/>
          <w:lang w:val="en-US" w:eastAsia="zh-CN"/>
        </w:rPr>
        <w:t>2022</w:t>
      </w:r>
      <w:r>
        <w:rPr>
          <w:rFonts w:hint="eastAsia" w:ascii="Times New Roman" w:hAnsi="Times New Roman" w:eastAsia="仿宋" w:cs="Times New Roman"/>
          <w:color w:val="auto"/>
          <w:sz w:val="28"/>
          <w:szCs w:val="28"/>
          <w:highlight w:val="none"/>
          <w:lang w:eastAsia="zh-CN"/>
        </w:rPr>
        <w:t>年</w:t>
      </w:r>
      <w:r>
        <w:rPr>
          <w:rFonts w:ascii="Times New Roman" w:hAnsi="Times New Roman" w:eastAsia="仿宋" w:cs="Times New Roman"/>
          <w:color w:val="auto"/>
          <w:sz w:val="28"/>
          <w:szCs w:val="28"/>
          <w:highlight w:val="none"/>
        </w:rPr>
        <w:t>食品安全监督抽检任务，</w:t>
      </w:r>
      <w:r>
        <w:rPr>
          <w:rFonts w:hint="eastAsia" w:ascii="Times New Roman" w:hAnsi="Times New Roman" w:eastAsia="仿宋" w:cs="Times New Roman"/>
          <w:color w:val="auto"/>
          <w:sz w:val="28"/>
          <w:szCs w:val="28"/>
          <w:highlight w:val="none"/>
        </w:rPr>
        <w:t>截至</w:t>
      </w:r>
      <w:r>
        <w:rPr>
          <w:rFonts w:hint="eastAsia" w:ascii="Times New Roman" w:hAnsi="Times New Roman" w:cs="Times New Roman"/>
          <w:color w:val="auto"/>
          <w:sz w:val="28"/>
          <w:szCs w:val="28"/>
          <w:highlight w:val="none"/>
          <w:lang w:val="en-US" w:eastAsia="zh-CN"/>
        </w:rPr>
        <w:t>2022</w:t>
      </w:r>
      <w:r>
        <w:rPr>
          <w:rFonts w:hint="eastAsia" w:ascii="Times New Roman" w:hAnsi="Times New Roman" w:eastAsia="仿宋" w:cs="Times New Roman"/>
          <w:color w:val="auto"/>
          <w:sz w:val="28"/>
          <w:szCs w:val="28"/>
          <w:highlight w:val="none"/>
        </w:rPr>
        <w:t>年</w:t>
      </w:r>
      <w:r>
        <w:rPr>
          <w:rFonts w:hint="eastAsia" w:ascii="Times New Roman" w:hAnsi="Times New Roman" w:cs="Times New Roman"/>
          <w:color w:val="auto"/>
          <w:sz w:val="28"/>
          <w:szCs w:val="28"/>
          <w:highlight w:val="none"/>
          <w:lang w:val="en-US" w:eastAsia="zh-CN"/>
        </w:rPr>
        <w:t>12</w:t>
      </w:r>
      <w:r>
        <w:rPr>
          <w:rFonts w:hint="eastAsia" w:ascii="Times New Roman" w:hAnsi="Times New Roman" w:eastAsia="仿宋" w:cs="Times New Roman"/>
          <w:color w:val="auto"/>
          <w:sz w:val="28"/>
          <w:szCs w:val="28"/>
          <w:highlight w:val="none"/>
          <w:lang w:val="en-US" w:eastAsia="zh-CN"/>
        </w:rPr>
        <w:t>月份</w:t>
      </w:r>
      <w:r>
        <w:rPr>
          <w:rFonts w:ascii="Times New Roman" w:hAnsi="Times New Roman" w:eastAsia="仿宋" w:cs="Times New Roman"/>
          <w:color w:val="auto"/>
          <w:sz w:val="28"/>
          <w:szCs w:val="28"/>
          <w:highlight w:val="none"/>
        </w:rPr>
        <w:t>已完成</w:t>
      </w:r>
      <w:r>
        <w:rPr>
          <w:rFonts w:hint="eastAsia" w:ascii="Times New Roman" w:hAnsi="Times New Roman" w:cs="Times New Roman"/>
          <w:color w:val="auto"/>
          <w:sz w:val="28"/>
          <w:szCs w:val="28"/>
          <w:highlight w:val="none"/>
          <w:lang w:val="en-US" w:eastAsia="zh-CN"/>
        </w:rPr>
        <w:t>2405</w:t>
      </w:r>
      <w:r>
        <w:rPr>
          <w:rFonts w:hint="eastAsia" w:ascii="Times New Roman" w:hAnsi="Times New Roman" w:eastAsia="仿宋" w:cs="Times New Roman"/>
          <w:color w:val="auto"/>
          <w:sz w:val="28"/>
          <w:szCs w:val="28"/>
          <w:highlight w:val="none"/>
          <w:lang w:val="en-US" w:eastAsia="zh-CN"/>
        </w:rPr>
        <w:t>批次</w:t>
      </w:r>
      <w:r>
        <w:rPr>
          <w:rFonts w:hint="eastAsia" w:ascii="Times New Roman" w:hAnsi="Times New Roman" w:eastAsia="仿宋" w:cs="Times New Roman"/>
          <w:color w:val="auto"/>
          <w:sz w:val="28"/>
          <w:szCs w:val="28"/>
          <w:highlight w:val="none"/>
        </w:rPr>
        <w:t>。</w:t>
      </w:r>
      <w:r>
        <w:rPr>
          <w:rFonts w:ascii="Times New Roman" w:hAnsi="Times New Roman" w:eastAsia="仿宋" w:cs="Times New Roman"/>
          <w:color w:val="auto"/>
          <w:sz w:val="28"/>
          <w:szCs w:val="28"/>
          <w:highlight w:val="none"/>
        </w:rPr>
        <w:t>其中合格样</w:t>
      </w:r>
      <w:r>
        <w:rPr>
          <w:rFonts w:hint="eastAsia" w:ascii="Times New Roman" w:hAnsi="Times New Roman" w:cs="Times New Roman"/>
          <w:color w:val="auto"/>
          <w:sz w:val="28"/>
          <w:szCs w:val="28"/>
          <w:highlight w:val="none"/>
          <w:lang w:val="en-US" w:eastAsia="zh-CN"/>
        </w:rPr>
        <w:t>2342</w:t>
      </w:r>
      <w:r>
        <w:rPr>
          <w:rFonts w:ascii="Times New Roman" w:hAnsi="Times New Roman" w:eastAsia="仿宋" w:cs="Times New Roman"/>
          <w:color w:val="auto"/>
          <w:sz w:val="28"/>
          <w:szCs w:val="28"/>
          <w:highlight w:val="none"/>
        </w:rPr>
        <w:t>批</w:t>
      </w:r>
      <w:r>
        <w:rPr>
          <w:rFonts w:hint="eastAsia" w:ascii="Times New Roman" w:hAnsi="Times New Roman" w:eastAsia="仿宋" w:cs="Times New Roman"/>
          <w:color w:val="auto"/>
          <w:sz w:val="28"/>
          <w:szCs w:val="28"/>
          <w:highlight w:val="none"/>
        </w:rPr>
        <w:t>次</w:t>
      </w:r>
      <w:r>
        <w:rPr>
          <w:rFonts w:ascii="Times New Roman" w:hAnsi="Times New Roman" w:eastAsia="仿宋" w:cs="Times New Roman"/>
          <w:color w:val="auto"/>
          <w:sz w:val="28"/>
          <w:szCs w:val="28"/>
          <w:highlight w:val="none"/>
        </w:rPr>
        <w:t>，合格率为</w:t>
      </w:r>
      <w:r>
        <w:rPr>
          <w:rFonts w:hint="eastAsia" w:ascii="Times New Roman" w:hAnsi="Times New Roman" w:cs="Times New Roman"/>
          <w:color w:val="auto"/>
          <w:sz w:val="28"/>
          <w:szCs w:val="28"/>
          <w:highlight w:val="none"/>
          <w:lang w:val="en-US" w:eastAsia="zh-CN"/>
        </w:rPr>
        <w:t>97.38</w:t>
      </w:r>
      <w:r>
        <w:rPr>
          <w:rFonts w:ascii="Times New Roman" w:hAnsi="Times New Roman" w:eastAsia="仿宋" w:cs="Times New Roman"/>
          <w:color w:val="auto"/>
          <w:sz w:val="28"/>
          <w:szCs w:val="28"/>
          <w:highlight w:val="none"/>
        </w:rPr>
        <w:t>%，不合格样品</w:t>
      </w:r>
      <w:r>
        <w:rPr>
          <w:rFonts w:hint="eastAsia" w:ascii="Times New Roman" w:hAnsi="Times New Roman" w:cs="Times New Roman"/>
          <w:color w:val="auto"/>
          <w:sz w:val="28"/>
          <w:szCs w:val="28"/>
          <w:highlight w:val="none"/>
          <w:lang w:val="en-US" w:eastAsia="zh-CN"/>
        </w:rPr>
        <w:t>63</w:t>
      </w:r>
      <w:r>
        <w:rPr>
          <w:rFonts w:ascii="Times New Roman" w:hAnsi="Times New Roman" w:eastAsia="仿宋" w:cs="Times New Roman"/>
          <w:color w:val="auto"/>
          <w:sz w:val="28"/>
          <w:szCs w:val="28"/>
          <w:highlight w:val="none"/>
        </w:rPr>
        <w:t>批次，不合格率为</w:t>
      </w:r>
      <w:r>
        <w:rPr>
          <w:rFonts w:hint="eastAsia" w:ascii="Times New Roman" w:hAnsi="Times New Roman" w:cs="Times New Roman"/>
          <w:color w:val="auto"/>
          <w:sz w:val="28"/>
          <w:szCs w:val="28"/>
          <w:highlight w:val="none"/>
          <w:lang w:val="en-US" w:eastAsia="zh-CN"/>
        </w:rPr>
        <w:t>2.62</w:t>
      </w:r>
      <w:r>
        <w:rPr>
          <w:rFonts w:ascii="Times New Roman" w:hAnsi="Times New Roman" w:eastAsia="仿宋" w:cs="Times New Roman"/>
          <w:color w:val="auto"/>
          <w:sz w:val="28"/>
          <w:szCs w:val="28"/>
          <w:highlight w:val="none"/>
        </w:rPr>
        <w:t>%。</w:t>
      </w:r>
    </w:p>
    <w:p>
      <w:pPr>
        <w:spacing w:line="360" w:lineRule="auto"/>
        <w:ind w:firstLine="560" w:firstLineChars="200"/>
        <w:rPr>
          <w:rFonts w:ascii="Times New Roman" w:hAnsi="Times New Roman" w:eastAsia="仿宋" w:cs="Times New Roman"/>
          <w:b/>
          <w:color w:val="auto"/>
          <w:sz w:val="24"/>
          <w:szCs w:val="24"/>
          <w:highlight w:val="none"/>
        </w:rPr>
      </w:pPr>
      <w:r>
        <w:rPr>
          <w:rFonts w:ascii="Times New Roman" w:hAnsi="Times New Roman" w:eastAsia="仿宋" w:cs="Times New Roman"/>
          <w:color w:val="auto"/>
          <w:sz w:val="28"/>
          <w:szCs w:val="28"/>
          <w:highlight w:val="none"/>
        </w:rPr>
        <w:t>由表3可知，不合格样品出现在</w:t>
      </w:r>
      <w:r>
        <w:rPr>
          <w:rFonts w:hint="eastAsia" w:ascii="Times New Roman" w:hAnsi="Times New Roman" w:eastAsia="仿宋" w:cs="Times New Roman"/>
          <w:color w:val="auto"/>
          <w:sz w:val="28"/>
          <w:szCs w:val="28"/>
          <w:highlight w:val="none"/>
        </w:rPr>
        <w:t>餐饮食品</w:t>
      </w:r>
      <w:r>
        <w:rPr>
          <w:rFonts w:hint="eastAsia" w:ascii="Times New Roman" w:hAnsi="Times New Roman" w:cs="Times New Roman"/>
          <w:color w:val="auto"/>
          <w:sz w:val="28"/>
          <w:szCs w:val="28"/>
          <w:highlight w:val="none"/>
          <w:lang w:eastAsia="zh-CN"/>
        </w:rPr>
        <w:t>、</w:t>
      </w:r>
      <w:r>
        <w:rPr>
          <w:rFonts w:hint="eastAsia" w:ascii="Times New Roman" w:hAnsi="Times New Roman" w:eastAsia="仿宋" w:cs="Times New Roman"/>
          <w:color w:val="auto"/>
          <w:sz w:val="28"/>
          <w:szCs w:val="28"/>
          <w:highlight w:val="none"/>
        </w:rPr>
        <w:t>食用农产品</w:t>
      </w:r>
      <w:r>
        <w:rPr>
          <w:rFonts w:hint="eastAsia" w:ascii="Times New Roman" w:hAnsi="Times New Roman" w:cs="Times New Roman"/>
          <w:color w:val="auto"/>
          <w:sz w:val="28"/>
          <w:szCs w:val="28"/>
          <w:highlight w:val="none"/>
          <w:lang w:eastAsia="zh-CN"/>
        </w:rPr>
        <w:t>、调味品</w:t>
      </w:r>
      <w:r>
        <w:rPr>
          <w:rFonts w:hint="eastAsia" w:ascii="Times New Roman" w:hAnsi="Times New Roman" w:eastAsia="仿宋" w:cs="Times New Roman"/>
          <w:color w:val="auto"/>
          <w:sz w:val="28"/>
          <w:szCs w:val="28"/>
          <w:highlight w:val="none"/>
        </w:rPr>
        <w:t>、</w:t>
      </w:r>
      <w:r>
        <w:rPr>
          <w:rFonts w:hint="eastAsia" w:ascii="Times New Roman" w:hAnsi="Times New Roman" w:cs="Times New Roman"/>
          <w:color w:val="auto"/>
          <w:sz w:val="28"/>
          <w:szCs w:val="28"/>
          <w:highlight w:val="none"/>
          <w:lang w:eastAsia="zh-CN"/>
        </w:rPr>
        <w:t>饮料中</w:t>
      </w:r>
      <w:r>
        <w:rPr>
          <w:rFonts w:hint="eastAsia" w:ascii="Times New Roman" w:hAnsi="Times New Roman" w:eastAsia="仿宋" w:cs="Times New Roman"/>
          <w:color w:val="auto"/>
          <w:sz w:val="28"/>
          <w:szCs w:val="28"/>
          <w:highlight w:val="none"/>
          <w:lang w:val="en-US" w:eastAsia="zh-CN"/>
        </w:rPr>
        <w:t>。各食品类别的具体抽检结果如表</w:t>
      </w:r>
      <w:r>
        <w:rPr>
          <w:rFonts w:hint="eastAsia" w:ascii="Times New Roman" w:hAnsi="Times New Roman" w:cs="Times New Roman"/>
          <w:color w:val="auto"/>
          <w:sz w:val="28"/>
          <w:szCs w:val="28"/>
          <w:highlight w:val="none"/>
          <w:lang w:val="en-US" w:eastAsia="zh-CN"/>
        </w:rPr>
        <w:t>3</w:t>
      </w:r>
      <w:r>
        <w:rPr>
          <w:rFonts w:hint="eastAsia" w:ascii="Times New Roman" w:hAnsi="Times New Roman" w:eastAsia="仿宋" w:cs="Times New Roman"/>
          <w:color w:val="auto"/>
          <w:sz w:val="28"/>
          <w:szCs w:val="28"/>
          <w:highlight w:val="none"/>
          <w:lang w:val="en-US" w:eastAsia="zh-CN"/>
        </w:rPr>
        <w:t>所示。</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表</w:t>
      </w:r>
      <w:r>
        <w:rPr>
          <w:rFonts w:hint="eastAsia" w:ascii="仿宋" w:hAnsi="仿宋" w:eastAsia="仿宋" w:cs="仿宋"/>
          <w:b/>
          <w:color w:val="auto"/>
          <w:sz w:val="28"/>
          <w:szCs w:val="28"/>
          <w:highlight w:val="none"/>
          <w:lang w:val="en-US" w:eastAsia="zh-CN"/>
        </w:rPr>
        <w:t>3</w:t>
      </w:r>
      <w:r>
        <w:rPr>
          <w:rFonts w:hint="eastAsia" w:ascii="仿宋" w:hAnsi="仿宋" w:eastAsia="仿宋" w:cs="仿宋"/>
          <w:b/>
          <w:color w:val="auto"/>
          <w:sz w:val="28"/>
          <w:szCs w:val="28"/>
          <w:highlight w:val="none"/>
        </w:rPr>
        <w:t xml:space="preserve"> 食品</w:t>
      </w:r>
      <w:r>
        <w:rPr>
          <w:rFonts w:hint="eastAsia" w:ascii="仿宋" w:hAnsi="仿宋" w:eastAsia="仿宋" w:cs="仿宋"/>
          <w:b/>
          <w:bCs/>
          <w:color w:val="auto"/>
          <w:sz w:val="28"/>
          <w:szCs w:val="28"/>
          <w:highlight w:val="none"/>
        </w:rPr>
        <w:t>安全监督抽检</w:t>
      </w:r>
      <w:r>
        <w:rPr>
          <w:rFonts w:hint="eastAsia" w:ascii="仿宋" w:hAnsi="仿宋" w:eastAsia="仿宋" w:cs="仿宋"/>
          <w:b/>
          <w:color w:val="auto"/>
          <w:sz w:val="28"/>
          <w:szCs w:val="28"/>
          <w:highlight w:val="none"/>
        </w:rPr>
        <w:t>结果信息统计表</w:t>
      </w:r>
    </w:p>
    <w:tbl>
      <w:tblPr>
        <w:tblStyle w:val="18"/>
        <w:tblW w:w="8183" w:type="dxa"/>
        <w:jc w:val="center"/>
        <w:shd w:val="clear" w:color="auto" w:fill="auto"/>
        <w:tblLayout w:type="fixed"/>
        <w:tblCellMar>
          <w:top w:w="0" w:type="dxa"/>
          <w:left w:w="0" w:type="dxa"/>
          <w:bottom w:w="0" w:type="dxa"/>
          <w:right w:w="0" w:type="dxa"/>
        </w:tblCellMar>
      </w:tblPr>
      <w:tblGrid>
        <w:gridCol w:w="830"/>
        <w:gridCol w:w="2430"/>
        <w:gridCol w:w="1204"/>
        <w:gridCol w:w="1053"/>
        <w:gridCol w:w="1149"/>
        <w:gridCol w:w="1517"/>
      </w:tblGrid>
      <w:tr>
        <w:tblPrEx>
          <w:shd w:val="clear" w:color="auto" w:fill="auto"/>
          <w:tblCellMar>
            <w:top w:w="0" w:type="dxa"/>
            <w:left w:w="0" w:type="dxa"/>
            <w:bottom w:w="0" w:type="dxa"/>
            <w:right w:w="0" w:type="dxa"/>
          </w:tblCellMar>
        </w:tblPrEx>
        <w:trPr>
          <w:trHeight w:val="510" w:hRule="atLeast"/>
          <w:tblHeader/>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序号</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食品大类</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抽检批次</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不合格批次</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大类不合格率/%</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占总抽检量不合格率/%</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食用农产品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1205</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42</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3.49%</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1.75%</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2</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餐饮食品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293</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19</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6.48%</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0.79%</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3</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粮食加工品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130</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4</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食用油、油脂及其制品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66</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5</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乳制品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21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6</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饮料</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68</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1.47%</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0.04%</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7</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饼干</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8</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糕点</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52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9</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肉制品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17</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10</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冷冻饮品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11</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糖果制品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18</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12</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方便食品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39</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13</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酒类</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33</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14</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蜂产品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15</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15</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调味品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196</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0.51%</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0.04%</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16</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水果制品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22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sz w:val="24"/>
                <w:szCs w:val="24"/>
                <w:highlight w:val="none"/>
                <w:u w:val="none"/>
              </w:rPr>
            </w:pPr>
            <w:r>
              <w:rPr>
                <w:rFonts w:hint="eastAsia" w:ascii="仿宋" w:hAnsi="仿宋" w:eastAsia="仿宋" w:cs="仿宋"/>
                <w:i w:val="0"/>
                <w:color w:val="auto"/>
                <w:kern w:val="0"/>
                <w:sz w:val="24"/>
                <w:szCs w:val="24"/>
                <w:highlight w:val="none"/>
                <w:u w:val="none"/>
                <w:lang w:val="en-US" w:eastAsia="zh-CN" w:bidi="ar"/>
              </w:rPr>
              <w:t>17</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茶叶及相关制品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29</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cs="仿宋"/>
                <w:i w:val="0"/>
                <w:color w:val="auto"/>
                <w:kern w:val="0"/>
                <w:sz w:val="24"/>
                <w:szCs w:val="24"/>
                <w:highlight w:val="none"/>
                <w:u w:val="none"/>
                <w:lang w:val="en-US" w:eastAsia="zh-CN" w:bidi="ar"/>
              </w:rPr>
              <w:t>18</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蛋制品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13</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19</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淀粉及淀粉制品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41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20</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炒货食品及坚果制品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shd w:val="clear" w:color="auto" w:fill="auto"/>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21</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速冻食品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8</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22</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豆制品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43</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23</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薯类和膨化食品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24</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24</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蔬菜制品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17</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25</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食糖</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19</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26</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罐头</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10</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tblCellMar>
            <w:top w:w="0" w:type="dxa"/>
            <w:left w:w="0" w:type="dxa"/>
            <w:bottom w:w="0" w:type="dxa"/>
            <w:right w:w="0" w:type="dxa"/>
          </w:tblCellMar>
        </w:tblPrEx>
        <w:trPr>
          <w:trHeight w:val="510" w:hRule="atLeast"/>
          <w:jc w:val="center"/>
        </w:trPr>
        <w:tc>
          <w:tcPr>
            <w:tcW w:w="8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cs="仿宋"/>
                <w:i w:val="0"/>
                <w:iCs w:val="0"/>
                <w:color w:val="auto"/>
                <w:kern w:val="0"/>
                <w:sz w:val="24"/>
                <w:szCs w:val="24"/>
                <w:highlight w:val="none"/>
                <w:u w:val="none"/>
                <w:lang w:val="en-US" w:eastAsia="zh-CN" w:bidi="ar"/>
              </w:rPr>
              <w:t>27</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保健食品</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default" w:ascii="仿宋" w:hAnsi="仿宋" w:eastAsia="仿宋" w:cs="仿宋"/>
                <w:i w:val="0"/>
                <w:color w:val="auto"/>
                <w:kern w:val="0"/>
                <w:sz w:val="24"/>
                <w:szCs w:val="24"/>
                <w:highlight w:val="none"/>
                <w:u w:val="none"/>
                <w:lang w:val="en-US" w:eastAsia="zh-CN" w:bidi="ar"/>
              </w:rPr>
              <w:t>0.00%</w:t>
            </w:r>
          </w:p>
        </w:tc>
      </w:tr>
      <w:tr>
        <w:tblPrEx>
          <w:tblCellMar>
            <w:top w:w="0" w:type="dxa"/>
            <w:left w:w="0" w:type="dxa"/>
            <w:bottom w:w="0" w:type="dxa"/>
            <w:right w:w="0" w:type="dxa"/>
          </w:tblCellMar>
        </w:tblPrEx>
        <w:trPr>
          <w:trHeight w:val="510" w:hRule="atLeast"/>
          <w:jc w:val="center"/>
        </w:trPr>
        <w:tc>
          <w:tcPr>
            <w:tcW w:w="32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auto"/>
                <w:sz w:val="24"/>
                <w:szCs w:val="24"/>
                <w:highlight w:val="none"/>
                <w:u w:val="none"/>
              </w:rPr>
            </w:pPr>
            <w:r>
              <w:rPr>
                <w:rFonts w:hint="eastAsia" w:ascii="仿宋" w:hAnsi="仿宋" w:eastAsia="仿宋" w:cs="仿宋"/>
                <w:b/>
                <w:bCs/>
                <w:i w:val="0"/>
                <w:color w:val="auto"/>
                <w:kern w:val="0"/>
                <w:sz w:val="24"/>
                <w:szCs w:val="24"/>
                <w:highlight w:val="none"/>
                <w:u w:val="none"/>
                <w:lang w:val="en-US" w:eastAsia="zh-CN" w:bidi="ar"/>
              </w:rPr>
              <w:t>合计</w:t>
            </w:r>
          </w:p>
        </w:tc>
        <w:tc>
          <w:tcPr>
            <w:tcW w:w="12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bCs/>
                <w:i w:val="0"/>
                <w:color w:val="auto"/>
                <w:sz w:val="24"/>
                <w:szCs w:val="24"/>
                <w:highlight w:val="none"/>
                <w:u w:val="none"/>
                <w:lang w:val="en-US"/>
              </w:rPr>
            </w:pPr>
            <w:r>
              <w:rPr>
                <w:rFonts w:hint="eastAsia" w:cs="仿宋"/>
                <w:b/>
                <w:bCs/>
                <w:i w:val="0"/>
                <w:color w:val="auto"/>
                <w:kern w:val="0"/>
                <w:sz w:val="24"/>
                <w:szCs w:val="24"/>
                <w:highlight w:val="none"/>
                <w:u w:val="none"/>
                <w:lang w:val="en-US" w:eastAsia="zh-CN" w:bidi="ar"/>
              </w:rPr>
              <w:t>2405</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bCs/>
                <w:i w:val="0"/>
                <w:color w:val="auto"/>
                <w:sz w:val="24"/>
                <w:szCs w:val="24"/>
                <w:highlight w:val="none"/>
                <w:u w:val="none"/>
                <w:lang w:val="en-US" w:eastAsia="zh-CN"/>
              </w:rPr>
            </w:pPr>
            <w:r>
              <w:rPr>
                <w:rFonts w:hint="eastAsia" w:cs="仿宋"/>
                <w:b/>
                <w:bCs/>
                <w:i w:val="0"/>
                <w:color w:val="auto"/>
                <w:sz w:val="24"/>
                <w:szCs w:val="24"/>
                <w:highlight w:val="none"/>
                <w:u w:val="none"/>
                <w:lang w:val="en-US" w:eastAsia="zh-CN"/>
              </w:rPr>
              <w:t>63</w:t>
            </w:r>
          </w:p>
        </w:tc>
        <w:tc>
          <w:tcPr>
            <w:tcW w:w="11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auto"/>
                <w:sz w:val="24"/>
                <w:szCs w:val="24"/>
                <w:highlight w:val="none"/>
                <w:u w:val="none"/>
              </w:rPr>
            </w:pPr>
            <w:r>
              <w:rPr>
                <w:rFonts w:hint="eastAsia" w:cs="仿宋"/>
                <w:b/>
                <w:bCs/>
                <w:i w:val="0"/>
                <w:color w:val="auto"/>
                <w:kern w:val="0"/>
                <w:sz w:val="24"/>
                <w:szCs w:val="24"/>
                <w:highlight w:val="none"/>
                <w:u w:val="none"/>
                <w:lang w:val="en-US" w:eastAsia="zh-CN" w:bidi="ar"/>
              </w:rPr>
              <w:t>11.95</w:t>
            </w:r>
            <w:r>
              <w:rPr>
                <w:rFonts w:hint="eastAsia" w:ascii="仿宋" w:hAnsi="仿宋" w:eastAsia="仿宋" w:cs="仿宋"/>
                <w:b/>
                <w:bCs/>
                <w:i w:val="0"/>
                <w:color w:val="auto"/>
                <w:kern w:val="0"/>
                <w:sz w:val="24"/>
                <w:szCs w:val="24"/>
                <w:highlight w:val="none"/>
                <w:u w:val="none"/>
                <w:lang w:val="en-US" w:eastAsia="zh-CN" w:bidi="ar"/>
              </w:rPr>
              <w:t>%</w:t>
            </w:r>
          </w:p>
        </w:tc>
        <w:tc>
          <w:tcPr>
            <w:tcW w:w="1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bCs/>
                <w:i w:val="0"/>
                <w:color w:val="auto"/>
                <w:sz w:val="24"/>
                <w:szCs w:val="24"/>
                <w:highlight w:val="none"/>
                <w:u w:val="none"/>
              </w:rPr>
            </w:pPr>
            <w:r>
              <w:rPr>
                <w:rFonts w:hint="eastAsia" w:cs="仿宋"/>
                <w:b/>
                <w:bCs/>
                <w:i w:val="0"/>
                <w:color w:val="auto"/>
                <w:kern w:val="0"/>
                <w:sz w:val="24"/>
                <w:szCs w:val="24"/>
                <w:highlight w:val="none"/>
                <w:u w:val="none"/>
                <w:lang w:val="en-US" w:eastAsia="zh-CN" w:bidi="ar"/>
              </w:rPr>
              <w:t>2.62</w:t>
            </w:r>
            <w:r>
              <w:rPr>
                <w:rFonts w:hint="eastAsia" w:ascii="仿宋" w:hAnsi="仿宋" w:eastAsia="仿宋" w:cs="仿宋"/>
                <w:b/>
                <w:bCs/>
                <w:i w:val="0"/>
                <w:color w:val="auto"/>
                <w:kern w:val="0"/>
                <w:sz w:val="24"/>
                <w:szCs w:val="24"/>
                <w:highlight w:val="none"/>
                <w:u w:val="none"/>
                <w:lang w:val="en-US" w:eastAsia="zh-CN" w:bidi="ar"/>
              </w:rPr>
              <w:t>%</w:t>
            </w:r>
          </w:p>
        </w:tc>
      </w:tr>
    </w:tbl>
    <w:p>
      <w:pPr>
        <w:bidi w:val="0"/>
        <w:jc w:val="center"/>
        <w:rPr>
          <w:rFonts w:hint="eastAsia"/>
          <w:color w:val="auto"/>
          <w:highlight w:val="none"/>
        </w:rPr>
      </w:pPr>
    </w:p>
    <w:p>
      <w:pPr>
        <w:pStyle w:val="5"/>
        <w:spacing w:line="360" w:lineRule="auto"/>
        <w:rPr>
          <w:color w:val="auto"/>
          <w:highlight w:val="none"/>
        </w:rPr>
      </w:pPr>
      <w:bookmarkStart w:id="10" w:name="_Toc41407954"/>
      <w:bookmarkStart w:id="11" w:name="_Toc30346"/>
      <w:r>
        <w:rPr>
          <w:rFonts w:hint="eastAsia"/>
          <w:color w:val="auto"/>
          <w:highlight w:val="none"/>
          <w:lang w:val="en-US" w:eastAsia="zh-CN"/>
        </w:rPr>
        <w:t xml:space="preserve">2.2 </w:t>
      </w:r>
      <w:r>
        <w:rPr>
          <w:rFonts w:hint="eastAsia"/>
          <w:color w:val="auto"/>
          <w:highlight w:val="none"/>
          <w:lang w:eastAsia="zh-CN"/>
        </w:rPr>
        <w:t>抽样环节</w:t>
      </w:r>
      <w:r>
        <w:rPr>
          <w:color w:val="auto"/>
          <w:highlight w:val="none"/>
        </w:rPr>
        <w:t>结果分析</w:t>
      </w:r>
      <w:bookmarkEnd w:id="10"/>
      <w:bookmarkEnd w:id="11"/>
      <w:bookmarkStart w:id="12" w:name="_Toc489"/>
    </w:p>
    <w:p>
      <w:pPr>
        <w:spacing w:line="360" w:lineRule="auto"/>
        <w:ind w:firstLine="560" w:firstLineChars="200"/>
        <w:jc w:val="lef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本次抽检范围覆盖辖区</w:t>
      </w:r>
      <w:r>
        <w:rPr>
          <w:rFonts w:hint="eastAsia" w:ascii="Times New Roman" w:hAnsi="Times New Roman" w:eastAsia="仿宋" w:cs="Times New Roman"/>
          <w:color w:val="auto"/>
          <w:sz w:val="28"/>
          <w:szCs w:val="28"/>
          <w:highlight w:val="none"/>
          <w:lang w:eastAsia="zh-CN"/>
        </w:rPr>
        <w:t>餐饮环节、流通环节</w:t>
      </w:r>
      <w:r>
        <w:rPr>
          <w:rFonts w:hint="eastAsia" w:ascii="Times New Roman" w:hAnsi="Times New Roman" w:cs="Times New Roman"/>
          <w:color w:val="auto"/>
          <w:sz w:val="28"/>
          <w:szCs w:val="28"/>
          <w:highlight w:val="none"/>
          <w:lang w:eastAsia="zh-CN"/>
        </w:rPr>
        <w:t>、生产环节</w:t>
      </w:r>
      <w:r>
        <w:rPr>
          <w:rFonts w:hint="eastAsia" w:ascii="Times New Roman" w:hAnsi="Times New Roman" w:cs="Times New Roman"/>
          <w:color w:val="auto"/>
          <w:sz w:val="28"/>
          <w:szCs w:val="28"/>
          <w:highlight w:val="none"/>
          <w:lang w:val="en-US" w:eastAsia="zh-CN"/>
        </w:rPr>
        <w:t>3</w:t>
      </w:r>
      <w:r>
        <w:rPr>
          <w:rFonts w:hint="eastAsia" w:ascii="Times New Roman" w:hAnsi="Times New Roman" w:eastAsia="仿宋" w:cs="Times New Roman"/>
          <w:color w:val="auto"/>
          <w:sz w:val="28"/>
          <w:szCs w:val="28"/>
          <w:highlight w:val="none"/>
        </w:rPr>
        <w:t>个</w:t>
      </w:r>
      <w:r>
        <w:rPr>
          <w:rFonts w:hint="eastAsia" w:ascii="Times New Roman" w:hAnsi="Times New Roman" w:eastAsia="仿宋" w:cs="Times New Roman"/>
          <w:color w:val="auto"/>
          <w:sz w:val="28"/>
          <w:szCs w:val="28"/>
          <w:highlight w:val="none"/>
          <w:lang w:eastAsia="zh-CN"/>
        </w:rPr>
        <w:t>环节</w:t>
      </w:r>
      <w:r>
        <w:rPr>
          <w:rFonts w:ascii="Times New Roman" w:hAnsi="Times New Roman" w:eastAsia="仿宋" w:cs="Times New Roman"/>
          <w:color w:val="auto"/>
          <w:sz w:val="28"/>
          <w:szCs w:val="28"/>
          <w:highlight w:val="none"/>
        </w:rPr>
        <w:t>。不合格样品出现在</w:t>
      </w:r>
      <w:r>
        <w:rPr>
          <w:rFonts w:hint="eastAsia" w:ascii="Times New Roman" w:hAnsi="Times New Roman" w:eastAsia="仿宋" w:cs="Times New Roman"/>
          <w:color w:val="auto"/>
          <w:sz w:val="28"/>
          <w:szCs w:val="28"/>
          <w:highlight w:val="none"/>
          <w:lang w:val="en-US" w:eastAsia="zh-CN"/>
        </w:rPr>
        <w:t>餐饮环节</w:t>
      </w:r>
      <w:r>
        <w:rPr>
          <w:rFonts w:hint="eastAsia" w:ascii="Times New Roman" w:hAnsi="Times New Roman" w:cs="Times New Roman"/>
          <w:color w:val="auto"/>
          <w:sz w:val="28"/>
          <w:szCs w:val="28"/>
          <w:highlight w:val="none"/>
          <w:lang w:val="en-US" w:eastAsia="zh-CN"/>
        </w:rPr>
        <w:t>22</w:t>
      </w:r>
      <w:r>
        <w:rPr>
          <w:rFonts w:hint="eastAsia" w:ascii="Times New Roman" w:hAnsi="Times New Roman" w:eastAsia="仿宋" w:cs="Times New Roman"/>
          <w:color w:val="auto"/>
          <w:sz w:val="28"/>
          <w:szCs w:val="28"/>
          <w:highlight w:val="none"/>
          <w:lang w:val="en-US" w:eastAsia="zh-CN"/>
        </w:rPr>
        <w:t>批次、流通环节</w:t>
      </w:r>
      <w:r>
        <w:rPr>
          <w:rFonts w:hint="eastAsia" w:ascii="Times New Roman" w:hAnsi="Times New Roman" w:cs="Times New Roman"/>
          <w:color w:val="auto"/>
          <w:sz w:val="28"/>
          <w:szCs w:val="28"/>
          <w:highlight w:val="none"/>
          <w:lang w:val="en-US" w:eastAsia="zh-CN"/>
        </w:rPr>
        <w:t>41</w:t>
      </w:r>
      <w:r>
        <w:rPr>
          <w:rFonts w:hint="eastAsia" w:ascii="Times New Roman" w:hAnsi="Times New Roman" w:eastAsia="仿宋" w:cs="Times New Roman"/>
          <w:color w:val="auto"/>
          <w:sz w:val="28"/>
          <w:szCs w:val="28"/>
          <w:highlight w:val="none"/>
          <w:lang w:val="en-US" w:eastAsia="zh-CN"/>
        </w:rPr>
        <w:t>批次</w:t>
      </w:r>
      <w:r>
        <w:rPr>
          <w:rFonts w:ascii="Times New Roman" w:hAnsi="Times New Roman" w:eastAsia="仿宋" w:cs="Times New Roman"/>
          <w:color w:val="auto"/>
          <w:sz w:val="28"/>
          <w:szCs w:val="28"/>
          <w:highlight w:val="none"/>
        </w:rPr>
        <w:t>，共计</w:t>
      </w:r>
      <w:r>
        <w:rPr>
          <w:rFonts w:hint="eastAsia" w:ascii="Times New Roman" w:hAnsi="Times New Roman" w:cs="Times New Roman"/>
          <w:color w:val="auto"/>
          <w:sz w:val="28"/>
          <w:szCs w:val="28"/>
          <w:highlight w:val="none"/>
          <w:lang w:val="en-US" w:eastAsia="zh-CN"/>
        </w:rPr>
        <w:t>63</w:t>
      </w:r>
      <w:r>
        <w:rPr>
          <w:rFonts w:ascii="Times New Roman" w:hAnsi="Times New Roman" w:eastAsia="仿宋" w:cs="Times New Roman"/>
          <w:color w:val="auto"/>
          <w:sz w:val="28"/>
          <w:szCs w:val="28"/>
          <w:highlight w:val="none"/>
        </w:rPr>
        <w:t>批次。各</w:t>
      </w:r>
      <w:r>
        <w:rPr>
          <w:rFonts w:hint="eastAsia" w:ascii="Times New Roman" w:hAnsi="Times New Roman" w:eastAsia="仿宋" w:cs="Times New Roman"/>
          <w:color w:val="auto"/>
          <w:sz w:val="28"/>
          <w:szCs w:val="28"/>
          <w:highlight w:val="none"/>
          <w:lang w:eastAsia="zh-CN"/>
        </w:rPr>
        <w:t>环节</w:t>
      </w:r>
      <w:r>
        <w:rPr>
          <w:rFonts w:ascii="Times New Roman" w:hAnsi="Times New Roman" w:eastAsia="仿宋" w:cs="Times New Roman"/>
          <w:color w:val="auto"/>
          <w:sz w:val="28"/>
          <w:szCs w:val="28"/>
          <w:highlight w:val="none"/>
        </w:rPr>
        <w:t>具体抽检结果见表</w:t>
      </w:r>
      <w:r>
        <w:rPr>
          <w:rFonts w:hint="eastAsia" w:ascii="Times New Roman" w:hAnsi="Times New Roman" w:cs="Times New Roman"/>
          <w:color w:val="auto"/>
          <w:sz w:val="28"/>
          <w:szCs w:val="28"/>
          <w:highlight w:val="none"/>
          <w:lang w:val="en-US" w:eastAsia="zh-CN"/>
        </w:rPr>
        <w:t>4</w:t>
      </w:r>
      <w:r>
        <w:rPr>
          <w:rFonts w:ascii="Times New Roman" w:hAnsi="Times New Roman" w:eastAsia="仿宋" w:cs="Times New Roman"/>
          <w:color w:val="auto"/>
          <w:sz w:val="28"/>
          <w:szCs w:val="28"/>
          <w:highlight w:val="none"/>
        </w:rPr>
        <w:t>。</w:t>
      </w:r>
      <w:bookmarkEnd w:id="12"/>
    </w:p>
    <w:p>
      <w:pPr>
        <w:spacing w:line="360" w:lineRule="auto"/>
        <w:ind w:firstLine="562" w:firstLineChars="200"/>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表</w:t>
      </w:r>
      <w:r>
        <w:rPr>
          <w:rFonts w:hint="eastAsia" w:cs="仿宋"/>
          <w:b/>
          <w:color w:val="auto"/>
          <w:sz w:val="28"/>
          <w:szCs w:val="28"/>
          <w:highlight w:val="none"/>
          <w:lang w:val="en-US" w:eastAsia="zh-CN"/>
        </w:rPr>
        <w:t>4</w:t>
      </w:r>
      <w:r>
        <w:rPr>
          <w:rFonts w:hint="eastAsia" w:ascii="仿宋" w:hAnsi="仿宋" w:eastAsia="仿宋" w:cs="仿宋"/>
          <w:b/>
          <w:color w:val="auto"/>
          <w:sz w:val="28"/>
          <w:szCs w:val="28"/>
          <w:highlight w:val="none"/>
        </w:rPr>
        <w:t xml:space="preserve"> 食品</w:t>
      </w:r>
      <w:r>
        <w:rPr>
          <w:rFonts w:hint="eastAsia" w:ascii="仿宋" w:hAnsi="仿宋" w:eastAsia="仿宋" w:cs="仿宋"/>
          <w:b/>
          <w:bCs/>
          <w:color w:val="auto"/>
          <w:sz w:val="28"/>
          <w:szCs w:val="28"/>
          <w:highlight w:val="none"/>
        </w:rPr>
        <w:t>安全监督</w:t>
      </w:r>
      <w:r>
        <w:rPr>
          <w:rFonts w:hint="eastAsia" w:ascii="仿宋" w:hAnsi="仿宋" w:eastAsia="仿宋" w:cs="仿宋"/>
          <w:b/>
          <w:bCs/>
          <w:color w:val="auto"/>
          <w:sz w:val="28"/>
          <w:szCs w:val="28"/>
          <w:highlight w:val="none"/>
          <w:lang w:eastAsia="zh-CN"/>
        </w:rPr>
        <w:t>抽样环节</w:t>
      </w:r>
      <w:r>
        <w:rPr>
          <w:rFonts w:hint="eastAsia" w:ascii="仿宋" w:hAnsi="仿宋" w:eastAsia="仿宋" w:cs="仿宋"/>
          <w:b/>
          <w:color w:val="auto"/>
          <w:sz w:val="28"/>
          <w:szCs w:val="28"/>
          <w:highlight w:val="none"/>
        </w:rPr>
        <w:t>抽检结果统计表</w:t>
      </w:r>
    </w:p>
    <w:tbl>
      <w:tblPr>
        <w:tblStyle w:val="18"/>
        <w:tblW w:w="95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1710"/>
        <w:gridCol w:w="1500"/>
        <w:gridCol w:w="1496"/>
        <w:gridCol w:w="1429"/>
        <w:gridCol w:w="2211"/>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0" w:type="dxa"/>
          <w:trHeight w:val="567" w:hRule="atLeast"/>
        </w:trPr>
        <w:tc>
          <w:tcPr>
            <w:tcW w:w="96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序号</w:t>
            </w:r>
          </w:p>
        </w:tc>
        <w:tc>
          <w:tcPr>
            <w:tcW w:w="171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抽样环节</w:t>
            </w:r>
          </w:p>
        </w:tc>
        <w:tc>
          <w:tcPr>
            <w:tcW w:w="150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抽检批次</w:t>
            </w:r>
          </w:p>
        </w:tc>
        <w:tc>
          <w:tcPr>
            <w:tcW w:w="149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不合格批次</w:t>
            </w:r>
          </w:p>
        </w:tc>
        <w:tc>
          <w:tcPr>
            <w:tcW w:w="142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不合格率/%</w:t>
            </w:r>
          </w:p>
        </w:tc>
        <w:tc>
          <w:tcPr>
            <w:tcW w:w="221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占总抽检量/%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0" w:type="dxa"/>
          <w:trHeight w:val="567" w:hRule="atLeast"/>
        </w:trPr>
        <w:tc>
          <w:tcPr>
            <w:tcW w:w="96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c>
          <w:tcPr>
            <w:tcW w:w="171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eastAsia" w:cs="仿宋"/>
                <w:i w:val="0"/>
                <w:iCs w:val="0"/>
                <w:color w:val="auto"/>
                <w:kern w:val="2"/>
                <w:sz w:val="24"/>
                <w:szCs w:val="24"/>
                <w:highlight w:val="none"/>
                <w:u w:val="none"/>
                <w:lang w:val="en-US" w:eastAsia="zh-CN" w:bidi="ar-SA"/>
              </w:rPr>
              <w:t>餐饮环节</w:t>
            </w:r>
          </w:p>
        </w:tc>
        <w:tc>
          <w:tcPr>
            <w:tcW w:w="150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470</w:t>
            </w:r>
          </w:p>
        </w:tc>
        <w:tc>
          <w:tcPr>
            <w:tcW w:w="14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22</w:t>
            </w:r>
          </w:p>
        </w:tc>
        <w:tc>
          <w:tcPr>
            <w:tcW w:w="14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4.68%</w:t>
            </w:r>
          </w:p>
        </w:tc>
        <w:tc>
          <w:tcPr>
            <w:tcW w:w="221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0" w:type="dxa"/>
          <w:trHeight w:val="567" w:hRule="atLeast"/>
        </w:trPr>
        <w:tc>
          <w:tcPr>
            <w:tcW w:w="96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2</w:t>
            </w:r>
          </w:p>
        </w:tc>
        <w:tc>
          <w:tcPr>
            <w:tcW w:w="171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eastAsia" w:cs="仿宋"/>
                <w:i w:val="0"/>
                <w:iCs w:val="0"/>
                <w:color w:val="auto"/>
                <w:kern w:val="2"/>
                <w:sz w:val="24"/>
                <w:szCs w:val="24"/>
                <w:highlight w:val="none"/>
                <w:u w:val="none"/>
                <w:lang w:val="en-US" w:eastAsia="zh-CN" w:bidi="ar-SA"/>
              </w:rPr>
              <w:t>流通环节</w:t>
            </w:r>
          </w:p>
        </w:tc>
        <w:tc>
          <w:tcPr>
            <w:tcW w:w="150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1916</w:t>
            </w:r>
          </w:p>
        </w:tc>
        <w:tc>
          <w:tcPr>
            <w:tcW w:w="1496"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41</w:t>
            </w:r>
          </w:p>
        </w:tc>
        <w:tc>
          <w:tcPr>
            <w:tcW w:w="1429"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2.14%</w:t>
            </w:r>
          </w:p>
        </w:tc>
        <w:tc>
          <w:tcPr>
            <w:tcW w:w="2211"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2"/>
                <w:sz w:val="24"/>
                <w:szCs w:val="24"/>
                <w:highlight w:val="none"/>
                <w:u w:val="none"/>
                <w:lang w:val="en-US" w:eastAsia="zh-CN" w:bidi="ar-SA"/>
              </w:rPr>
            </w:pPr>
            <w:r>
              <w:rPr>
                <w:rFonts w:hint="eastAsia" w:cs="仿宋"/>
                <w:i w:val="0"/>
                <w:iCs w:val="0"/>
                <w:color w:val="auto"/>
                <w:kern w:val="2"/>
                <w:sz w:val="24"/>
                <w:szCs w:val="24"/>
                <w:highlight w:val="none"/>
                <w:u w:val="none"/>
                <w:lang w:val="en-US" w:eastAsia="zh-CN" w:bidi="ar-SA"/>
              </w:rPr>
              <w:t>3</w:t>
            </w:r>
          </w:p>
        </w:tc>
        <w:tc>
          <w:tcPr>
            <w:tcW w:w="1710" w:type="dxa"/>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eastAsia" w:cs="仿宋"/>
                <w:i w:val="0"/>
                <w:iCs w:val="0"/>
                <w:color w:val="auto"/>
                <w:kern w:val="2"/>
                <w:sz w:val="24"/>
                <w:szCs w:val="24"/>
                <w:highlight w:val="none"/>
                <w:u w:val="none"/>
                <w:lang w:val="en-US" w:eastAsia="zh-CN" w:bidi="ar-SA"/>
              </w:rPr>
              <w:t>生产环节</w:t>
            </w:r>
          </w:p>
        </w:tc>
        <w:tc>
          <w:tcPr>
            <w:tcW w:w="1500"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19</w:t>
            </w:r>
          </w:p>
        </w:tc>
        <w:tc>
          <w:tcPr>
            <w:tcW w:w="1496"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0</w:t>
            </w:r>
          </w:p>
        </w:tc>
        <w:tc>
          <w:tcPr>
            <w:tcW w:w="1429"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0.00%</w:t>
            </w:r>
          </w:p>
        </w:tc>
        <w:tc>
          <w:tcPr>
            <w:tcW w:w="22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仿宋"/>
                <w:i w:val="0"/>
                <w:iCs w:val="0"/>
                <w:color w:val="auto"/>
                <w:kern w:val="2"/>
                <w:sz w:val="24"/>
                <w:szCs w:val="24"/>
                <w:highlight w:val="none"/>
                <w:u w:val="none"/>
                <w:lang w:val="en-US" w:eastAsia="zh-CN" w:bidi="ar-SA"/>
              </w:rPr>
            </w:pPr>
            <w:r>
              <w:rPr>
                <w:rFonts w:hint="default" w:cs="仿宋"/>
                <w:i w:val="0"/>
                <w:iCs w:val="0"/>
                <w:color w:val="auto"/>
                <w:kern w:val="2"/>
                <w:sz w:val="24"/>
                <w:szCs w:val="24"/>
                <w:highlight w:val="none"/>
                <w:u w:val="none"/>
                <w:lang w:val="en-US" w:eastAsia="zh-CN" w:bidi="ar-SA"/>
              </w:rPr>
              <w:t>0.00%</w:t>
            </w:r>
          </w:p>
        </w:tc>
        <w:tc>
          <w:tcPr>
            <w:tcW w:w="240" w:type="dxa"/>
            <w:tcBorders>
              <w:top w:val="nil"/>
              <w:left w:val="single" w:color="auto" w:sz="4"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0" w:type="dxa"/>
          <w:trHeight w:val="567" w:hRule="atLeast"/>
        </w:trPr>
        <w:tc>
          <w:tcPr>
            <w:tcW w:w="2670" w:type="dxa"/>
            <w:gridSpan w:val="2"/>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val="en-US" w:eastAsia="zh-CN" w:bidi="ar-SA"/>
              </w:rPr>
            </w:pPr>
            <w:r>
              <w:rPr>
                <w:rFonts w:hint="eastAsia" w:ascii="仿宋" w:hAnsi="仿宋" w:eastAsia="仿宋" w:cs="仿宋"/>
                <w:b/>
                <w:bCs/>
                <w:i w:val="0"/>
                <w:iCs w:val="0"/>
                <w:color w:val="auto"/>
                <w:kern w:val="0"/>
                <w:sz w:val="24"/>
                <w:szCs w:val="24"/>
                <w:highlight w:val="none"/>
                <w:u w:val="none"/>
                <w:lang w:val="en-US" w:eastAsia="zh-CN" w:bidi="ar"/>
              </w:rPr>
              <w:t>合计</w:t>
            </w:r>
          </w:p>
        </w:tc>
        <w:tc>
          <w:tcPr>
            <w:tcW w:w="150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auto"/>
                <w:kern w:val="2"/>
                <w:sz w:val="24"/>
                <w:szCs w:val="24"/>
                <w:highlight w:val="none"/>
                <w:u w:val="none"/>
                <w:lang w:val="en-US" w:eastAsia="zh-CN" w:bidi="ar-SA"/>
              </w:rPr>
            </w:pPr>
            <w:r>
              <w:rPr>
                <w:rFonts w:hint="eastAsia" w:cs="仿宋"/>
                <w:b/>
                <w:bCs/>
                <w:i w:val="0"/>
                <w:iCs w:val="0"/>
                <w:color w:val="auto"/>
                <w:kern w:val="0"/>
                <w:sz w:val="24"/>
                <w:szCs w:val="24"/>
                <w:highlight w:val="none"/>
                <w:u w:val="none"/>
                <w:lang w:val="en-US" w:eastAsia="zh-CN" w:bidi="ar"/>
              </w:rPr>
              <w:t>2405</w:t>
            </w:r>
          </w:p>
        </w:tc>
        <w:tc>
          <w:tcPr>
            <w:tcW w:w="1496"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auto"/>
                <w:kern w:val="2"/>
                <w:sz w:val="24"/>
                <w:szCs w:val="24"/>
                <w:highlight w:val="none"/>
                <w:u w:val="none"/>
                <w:lang w:val="en-US" w:eastAsia="zh-CN" w:bidi="ar-SA"/>
              </w:rPr>
            </w:pPr>
            <w:r>
              <w:rPr>
                <w:rFonts w:hint="eastAsia" w:cs="仿宋"/>
                <w:b/>
                <w:bCs/>
                <w:i w:val="0"/>
                <w:iCs w:val="0"/>
                <w:color w:val="auto"/>
                <w:kern w:val="2"/>
                <w:sz w:val="24"/>
                <w:szCs w:val="24"/>
                <w:highlight w:val="none"/>
                <w:u w:val="none"/>
                <w:lang w:val="en-US" w:eastAsia="zh-CN" w:bidi="ar-SA"/>
              </w:rPr>
              <w:t>63</w:t>
            </w:r>
          </w:p>
        </w:tc>
        <w:tc>
          <w:tcPr>
            <w:tcW w:w="1429"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val="en-US" w:eastAsia="zh-CN" w:bidi="ar-SA"/>
              </w:rPr>
            </w:pPr>
            <w:r>
              <w:rPr>
                <w:rFonts w:hint="eastAsia" w:cs="仿宋"/>
                <w:b/>
                <w:bCs/>
                <w:i w:val="0"/>
                <w:iCs w:val="0"/>
                <w:color w:val="auto"/>
                <w:kern w:val="0"/>
                <w:sz w:val="24"/>
                <w:szCs w:val="24"/>
                <w:highlight w:val="none"/>
                <w:u w:val="none"/>
                <w:lang w:val="en-US" w:eastAsia="zh-CN" w:bidi="ar"/>
              </w:rPr>
              <w:t>6.82</w:t>
            </w:r>
            <w:r>
              <w:rPr>
                <w:rFonts w:hint="eastAsia" w:ascii="仿宋" w:hAnsi="仿宋" w:eastAsia="仿宋" w:cs="仿宋"/>
                <w:b/>
                <w:bCs/>
                <w:i w:val="0"/>
                <w:iCs w:val="0"/>
                <w:color w:val="auto"/>
                <w:kern w:val="0"/>
                <w:sz w:val="24"/>
                <w:szCs w:val="24"/>
                <w:highlight w:val="none"/>
                <w:u w:val="none"/>
                <w:lang w:val="en-US" w:eastAsia="zh-CN" w:bidi="ar"/>
              </w:rPr>
              <w:t>%</w:t>
            </w:r>
          </w:p>
        </w:tc>
        <w:tc>
          <w:tcPr>
            <w:tcW w:w="2211"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val="en-US" w:eastAsia="zh-CN" w:bidi="ar-SA"/>
              </w:rPr>
            </w:pPr>
            <w:r>
              <w:rPr>
                <w:rFonts w:hint="eastAsia" w:cs="仿宋"/>
                <w:b/>
                <w:bCs/>
                <w:i w:val="0"/>
                <w:iCs w:val="0"/>
                <w:color w:val="auto"/>
                <w:kern w:val="0"/>
                <w:sz w:val="24"/>
                <w:szCs w:val="24"/>
                <w:highlight w:val="none"/>
                <w:u w:val="none"/>
                <w:lang w:val="en-US" w:eastAsia="zh-CN" w:bidi="ar"/>
              </w:rPr>
              <w:t>2.62</w:t>
            </w:r>
            <w:r>
              <w:rPr>
                <w:rFonts w:hint="eastAsia" w:ascii="仿宋" w:hAnsi="仿宋" w:eastAsia="仿宋" w:cs="仿宋"/>
                <w:b/>
                <w:bCs/>
                <w:i w:val="0"/>
                <w:iCs w:val="0"/>
                <w:color w:val="auto"/>
                <w:kern w:val="0"/>
                <w:sz w:val="24"/>
                <w:szCs w:val="24"/>
                <w:highlight w:val="none"/>
                <w:u w:val="none"/>
                <w:lang w:val="en-US" w:eastAsia="zh-CN" w:bidi="ar"/>
              </w:rPr>
              <w:t>%</w:t>
            </w:r>
          </w:p>
        </w:tc>
      </w:tr>
    </w:tbl>
    <w:p>
      <w:pPr>
        <w:pStyle w:val="5"/>
        <w:spacing w:line="360" w:lineRule="auto"/>
        <w:rPr>
          <w:color w:val="auto"/>
          <w:highlight w:val="none"/>
        </w:rPr>
      </w:pPr>
      <w:bookmarkStart w:id="13" w:name="_Toc16567"/>
      <w:r>
        <w:rPr>
          <w:rFonts w:hint="eastAsia"/>
          <w:color w:val="auto"/>
          <w:highlight w:val="none"/>
          <w:lang w:val="en-US" w:eastAsia="zh-CN"/>
        </w:rPr>
        <w:t xml:space="preserve">2.3 </w:t>
      </w:r>
      <w:r>
        <w:rPr>
          <w:rFonts w:hint="eastAsia"/>
          <w:color w:val="auto"/>
          <w:highlight w:val="none"/>
        </w:rPr>
        <w:t>样品检验不合格</w:t>
      </w:r>
      <w:r>
        <w:rPr>
          <w:color w:val="auto"/>
          <w:highlight w:val="none"/>
        </w:rPr>
        <w:t>项目统计与</w:t>
      </w:r>
      <w:r>
        <w:rPr>
          <w:rFonts w:hint="eastAsia"/>
          <w:color w:val="auto"/>
          <w:highlight w:val="none"/>
        </w:rPr>
        <w:t>危害</w:t>
      </w:r>
      <w:r>
        <w:rPr>
          <w:color w:val="auto"/>
          <w:highlight w:val="none"/>
        </w:rPr>
        <w:t>分析</w:t>
      </w:r>
      <w:bookmarkEnd w:id="13"/>
    </w:p>
    <w:p>
      <w:pPr>
        <w:rPr>
          <w:rFonts w:ascii="仿宋" w:hAnsi="仿宋" w:eastAsia="仿宋"/>
          <w:b/>
          <w:color w:val="auto"/>
          <w:sz w:val="30"/>
          <w:szCs w:val="30"/>
          <w:highlight w:val="none"/>
        </w:rPr>
      </w:pPr>
      <w:bookmarkStart w:id="14" w:name="_Toc5946"/>
      <w:r>
        <w:rPr>
          <w:rFonts w:hint="eastAsia"/>
          <w:b/>
          <w:color w:val="auto"/>
          <w:sz w:val="30"/>
          <w:szCs w:val="30"/>
          <w:highlight w:val="none"/>
          <w:lang w:val="en-US" w:eastAsia="zh-CN"/>
        </w:rPr>
        <w:t>2.3.1</w:t>
      </w:r>
      <w:r>
        <w:rPr>
          <w:rFonts w:ascii="仿宋" w:hAnsi="仿宋" w:eastAsia="仿宋"/>
          <w:b/>
          <w:color w:val="auto"/>
          <w:sz w:val="30"/>
          <w:szCs w:val="30"/>
          <w:highlight w:val="none"/>
        </w:rPr>
        <w:t>不合格</w:t>
      </w:r>
      <w:r>
        <w:rPr>
          <w:rFonts w:hint="eastAsia" w:ascii="仿宋" w:hAnsi="仿宋" w:eastAsia="仿宋"/>
          <w:b/>
          <w:color w:val="auto"/>
          <w:sz w:val="30"/>
          <w:szCs w:val="30"/>
          <w:highlight w:val="none"/>
        </w:rPr>
        <w:t>样品及</w:t>
      </w:r>
      <w:r>
        <w:rPr>
          <w:rFonts w:ascii="仿宋" w:hAnsi="仿宋" w:eastAsia="仿宋"/>
          <w:b/>
          <w:color w:val="auto"/>
          <w:sz w:val="30"/>
          <w:szCs w:val="30"/>
          <w:highlight w:val="none"/>
        </w:rPr>
        <w:t>项目统计</w:t>
      </w:r>
      <w:bookmarkEnd w:id="14"/>
    </w:p>
    <w:p>
      <w:pPr>
        <w:spacing w:line="360" w:lineRule="auto"/>
        <w:ind w:firstLine="560" w:firstLineChars="200"/>
        <w:rPr>
          <w:rFonts w:ascii="Times New Roman" w:hAnsi="Times New Roman" w:eastAsia="仿宋"/>
          <w:b/>
          <w:bCs/>
          <w:color w:val="auto"/>
          <w:sz w:val="24"/>
          <w:highlight w:val="none"/>
        </w:rPr>
      </w:pPr>
      <w:r>
        <w:rPr>
          <w:rFonts w:ascii="Times New Roman" w:hAnsi="Times New Roman" w:eastAsia="仿宋" w:cs="Times New Roman"/>
          <w:color w:val="auto"/>
          <w:sz w:val="28"/>
          <w:szCs w:val="28"/>
          <w:highlight w:val="none"/>
        </w:rPr>
        <w:t>本次食品安全监督抽检任务共检出不合格样品</w:t>
      </w:r>
      <w:r>
        <w:rPr>
          <w:rFonts w:hint="eastAsia" w:ascii="Times New Roman" w:hAnsi="Times New Roman" w:cs="Times New Roman"/>
          <w:color w:val="auto"/>
          <w:sz w:val="28"/>
          <w:szCs w:val="28"/>
          <w:highlight w:val="none"/>
          <w:lang w:val="en-US" w:eastAsia="zh-CN"/>
        </w:rPr>
        <w:t>63</w:t>
      </w:r>
      <w:r>
        <w:rPr>
          <w:rFonts w:ascii="Times New Roman" w:hAnsi="Times New Roman" w:eastAsia="仿宋" w:cs="Times New Roman"/>
          <w:color w:val="auto"/>
          <w:sz w:val="28"/>
          <w:szCs w:val="28"/>
          <w:highlight w:val="none"/>
        </w:rPr>
        <w:t>批次，不合格率为</w:t>
      </w:r>
      <w:r>
        <w:rPr>
          <w:rFonts w:hint="eastAsia" w:ascii="Times New Roman" w:hAnsi="Times New Roman" w:cs="Times New Roman"/>
          <w:color w:val="auto"/>
          <w:sz w:val="28"/>
          <w:szCs w:val="28"/>
          <w:highlight w:val="none"/>
          <w:lang w:val="en-US" w:eastAsia="zh-CN"/>
        </w:rPr>
        <w:t>2.62</w:t>
      </w:r>
      <w:r>
        <w:rPr>
          <w:rFonts w:ascii="Times New Roman" w:hAnsi="Times New Roman" w:eastAsia="仿宋" w:cs="Times New Roman"/>
          <w:color w:val="auto"/>
          <w:sz w:val="28"/>
          <w:szCs w:val="28"/>
          <w:highlight w:val="none"/>
        </w:rPr>
        <w:t>%</w:t>
      </w:r>
      <w:r>
        <w:rPr>
          <w:rFonts w:hint="eastAsia" w:ascii="Times New Roman" w:hAnsi="Times New Roman" w:eastAsia="仿宋" w:cs="Times New Roman"/>
          <w:color w:val="auto"/>
          <w:sz w:val="28"/>
          <w:szCs w:val="28"/>
          <w:highlight w:val="none"/>
          <w:lang w:eastAsia="zh-CN"/>
        </w:rPr>
        <w:t>，</w:t>
      </w:r>
      <w:r>
        <w:rPr>
          <w:rFonts w:hint="eastAsia" w:ascii="Times New Roman" w:hAnsi="Times New Roman" w:eastAsia="仿宋" w:cs="Times New Roman"/>
          <w:color w:val="auto"/>
          <w:sz w:val="28"/>
          <w:szCs w:val="28"/>
          <w:highlight w:val="none"/>
        </w:rPr>
        <w:t>不合格样品出现在食用农产品</w:t>
      </w:r>
      <w:r>
        <w:rPr>
          <w:rFonts w:hint="eastAsia" w:ascii="Times New Roman" w:hAnsi="Times New Roman" w:cs="Times New Roman"/>
          <w:color w:val="auto"/>
          <w:sz w:val="28"/>
          <w:szCs w:val="28"/>
          <w:highlight w:val="none"/>
          <w:lang w:eastAsia="zh-CN"/>
        </w:rPr>
        <w:t>、</w:t>
      </w:r>
      <w:r>
        <w:rPr>
          <w:rFonts w:hint="eastAsia" w:ascii="Times New Roman" w:hAnsi="Times New Roman" w:eastAsia="仿宋" w:cs="Times New Roman"/>
          <w:color w:val="auto"/>
          <w:sz w:val="28"/>
          <w:szCs w:val="28"/>
          <w:highlight w:val="none"/>
        </w:rPr>
        <w:t>餐饮食品</w:t>
      </w:r>
      <w:r>
        <w:rPr>
          <w:rFonts w:hint="eastAsia" w:ascii="Times New Roman" w:hAnsi="Times New Roman" w:cs="Times New Roman"/>
          <w:color w:val="auto"/>
          <w:sz w:val="28"/>
          <w:szCs w:val="28"/>
          <w:highlight w:val="none"/>
          <w:lang w:eastAsia="zh-CN"/>
        </w:rPr>
        <w:t>、饮料和调味品</w:t>
      </w:r>
      <w:r>
        <w:rPr>
          <w:rFonts w:hint="eastAsia" w:ascii="Times New Roman" w:hAnsi="Times New Roman" w:eastAsia="仿宋" w:cs="Times New Roman"/>
          <w:color w:val="auto"/>
          <w:sz w:val="28"/>
          <w:szCs w:val="28"/>
          <w:highlight w:val="none"/>
          <w:lang w:val="en-US" w:eastAsia="zh-CN"/>
        </w:rPr>
        <w:t>中</w:t>
      </w:r>
      <w:r>
        <w:rPr>
          <w:rFonts w:hint="eastAsia" w:ascii="Times New Roman" w:hAnsi="Times New Roman" w:eastAsia="仿宋" w:cs="Times New Roman"/>
          <w:color w:val="auto"/>
          <w:sz w:val="28"/>
          <w:szCs w:val="28"/>
          <w:highlight w:val="none"/>
        </w:rPr>
        <w:t>。抽检发现的主要问题为</w:t>
      </w:r>
      <w:r>
        <w:rPr>
          <w:rFonts w:hint="eastAsia" w:ascii="Times New Roman" w:hAnsi="Times New Roman" w:cs="Times New Roman"/>
          <w:color w:val="auto"/>
          <w:sz w:val="28"/>
          <w:szCs w:val="28"/>
          <w:highlight w:val="none"/>
          <w:lang w:val="en-US" w:eastAsia="zh-CN"/>
        </w:rPr>
        <w:t>微生物</w:t>
      </w:r>
      <w:r>
        <w:rPr>
          <w:rFonts w:hint="eastAsia" w:ascii="Times New Roman" w:hAnsi="Times New Roman" w:eastAsia="仿宋" w:cs="Times New Roman"/>
          <w:color w:val="auto"/>
          <w:sz w:val="28"/>
          <w:szCs w:val="28"/>
          <w:highlight w:val="none"/>
          <w:lang w:eastAsia="zh-CN"/>
        </w:rPr>
        <w:t>、</w:t>
      </w:r>
      <w:r>
        <w:rPr>
          <w:rFonts w:hint="eastAsia" w:ascii="Times New Roman" w:hAnsi="Times New Roman" w:cs="Times New Roman"/>
          <w:color w:val="auto"/>
          <w:sz w:val="28"/>
          <w:szCs w:val="28"/>
          <w:highlight w:val="none"/>
          <w:lang w:eastAsia="zh-CN"/>
        </w:rPr>
        <w:t>禁用物质、食品添加剂、</w:t>
      </w:r>
      <w:r>
        <w:rPr>
          <w:rFonts w:hint="eastAsia" w:ascii="Times New Roman" w:hAnsi="Times New Roman" w:cs="Times New Roman"/>
          <w:color w:val="auto"/>
          <w:sz w:val="28"/>
          <w:szCs w:val="28"/>
          <w:highlight w:val="none"/>
          <w:lang w:val="en-US" w:eastAsia="zh-CN"/>
        </w:rPr>
        <w:t>农药、兽药残留</w:t>
      </w:r>
      <w:r>
        <w:rPr>
          <w:rFonts w:hint="eastAsia" w:ascii="Times New Roman" w:hAnsi="Times New Roman" w:eastAsia="仿宋" w:cs="Times New Roman"/>
          <w:color w:val="auto"/>
          <w:sz w:val="28"/>
          <w:szCs w:val="28"/>
          <w:highlight w:val="none"/>
          <w:lang w:val="en-US" w:eastAsia="zh-CN"/>
        </w:rPr>
        <w:t>超标</w:t>
      </w:r>
      <w:r>
        <w:rPr>
          <w:rFonts w:hint="eastAsia" w:ascii="Times New Roman" w:hAnsi="Times New Roman" w:eastAsia="仿宋" w:cs="Times New Roman"/>
          <w:color w:val="auto"/>
          <w:sz w:val="28"/>
          <w:szCs w:val="28"/>
          <w:highlight w:val="none"/>
          <w:lang w:eastAsia="zh-CN"/>
        </w:rPr>
        <w:t>等</w:t>
      </w:r>
      <w:r>
        <w:rPr>
          <w:rFonts w:hint="eastAsia" w:ascii="Times New Roman" w:hAnsi="Times New Roman" w:eastAsia="仿宋" w:cs="Times New Roman"/>
          <w:color w:val="auto"/>
          <w:sz w:val="28"/>
          <w:szCs w:val="28"/>
          <w:highlight w:val="none"/>
        </w:rPr>
        <w:t>，检出不合格项目</w:t>
      </w:r>
      <w:r>
        <w:rPr>
          <w:rFonts w:hint="eastAsia" w:ascii="Times New Roman" w:hAnsi="Times New Roman" w:cs="Times New Roman"/>
          <w:color w:val="auto"/>
          <w:sz w:val="28"/>
          <w:szCs w:val="28"/>
          <w:highlight w:val="none"/>
          <w:lang w:val="en-US" w:eastAsia="zh-CN"/>
        </w:rPr>
        <w:t>20</w:t>
      </w:r>
      <w:r>
        <w:rPr>
          <w:rFonts w:hint="eastAsia" w:ascii="Times New Roman" w:hAnsi="Times New Roman" w:eastAsia="仿宋" w:cs="Times New Roman"/>
          <w:color w:val="auto"/>
          <w:sz w:val="28"/>
          <w:szCs w:val="28"/>
          <w:highlight w:val="none"/>
        </w:rPr>
        <w:t>个，分别</w:t>
      </w:r>
      <w:r>
        <w:rPr>
          <w:rFonts w:hint="eastAsia" w:ascii="Times New Roman" w:hAnsi="Times New Roman" w:eastAsia="仿宋" w:cs="Times New Roman"/>
          <w:color w:val="auto"/>
          <w:sz w:val="28"/>
          <w:szCs w:val="28"/>
          <w:highlight w:val="none"/>
          <w:lang w:eastAsia="zh-CN"/>
        </w:rPr>
        <w:t>为</w:t>
      </w:r>
      <w:r>
        <w:rPr>
          <w:rFonts w:hint="eastAsia" w:ascii="Times New Roman" w:hAnsi="Times New Roman" w:eastAsia="仿宋" w:cs="Times New Roman"/>
          <w:color w:val="auto"/>
          <w:sz w:val="28"/>
          <w:szCs w:val="28"/>
          <w:highlight w:val="none"/>
        </w:rPr>
        <w:t>阿维菌素、克百威、毒死蜱、啶虫脒、氯氟氰菊酯和高效氯氟氰菊酯、噻虫嗪、腐霉利、吡虫啉、噻虫胺、亚硝酸盐(以亚硝酸钠计)、苯甲酸及其钠盐(以苯甲酸计)、阴离子合成洗涤剂(以十二烷基苯磺酸钠计)、菌落总数、大肠菌群、</w:t>
      </w:r>
      <w:r>
        <w:rPr>
          <w:rFonts w:hint="eastAsia" w:ascii="Times New Roman" w:hAnsi="Times New Roman" w:eastAsia="仿宋" w:cs="Times New Roman"/>
          <w:color w:val="auto"/>
          <w:sz w:val="28"/>
          <w:szCs w:val="28"/>
          <w:highlight w:val="none"/>
          <w:lang w:val="en-US" w:eastAsia="zh-CN"/>
        </w:rPr>
        <w:t>4-</w:t>
      </w:r>
      <w:r>
        <w:rPr>
          <w:rFonts w:hint="eastAsia" w:ascii="Times New Roman" w:hAnsi="Times New Roman" w:eastAsia="仿宋" w:cs="Times New Roman"/>
          <w:color w:val="auto"/>
          <w:sz w:val="28"/>
          <w:szCs w:val="28"/>
          <w:highlight w:val="none"/>
        </w:rPr>
        <w:t>氯苯氧乙酸钠(以</w:t>
      </w:r>
      <w:r>
        <w:rPr>
          <w:rFonts w:hint="eastAsia" w:ascii="Times New Roman" w:hAnsi="Times New Roman" w:eastAsia="仿宋" w:cs="Times New Roman"/>
          <w:color w:val="auto"/>
          <w:sz w:val="28"/>
          <w:szCs w:val="28"/>
          <w:highlight w:val="none"/>
          <w:lang w:val="en-US" w:eastAsia="zh-CN"/>
        </w:rPr>
        <w:t>4-</w:t>
      </w:r>
      <w:r>
        <w:rPr>
          <w:rFonts w:hint="eastAsia" w:ascii="Times New Roman" w:hAnsi="Times New Roman" w:eastAsia="仿宋" w:cs="Times New Roman"/>
          <w:color w:val="auto"/>
          <w:sz w:val="28"/>
          <w:szCs w:val="28"/>
          <w:highlight w:val="none"/>
        </w:rPr>
        <w:t>氯苯氧乙酸计)、</w:t>
      </w:r>
      <w:r>
        <w:rPr>
          <w:rFonts w:hint="eastAsia" w:ascii="Times New Roman" w:hAnsi="Times New Roman" w:eastAsia="仿宋" w:cs="Times New Roman"/>
          <w:color w:val="auto"/>
          <w:sz w:val="28"/>
          <w:szCs w:val="28"/>
          <w:highlight w:val="none"/>
          <w:lang w:val="en-US" w:eastAsia="zh-CN"/>
        </w:rPr>
        <w:t>6-</w:t>
      </w:r>
      <w:r>
        <w:rPr>
          <w:rFonts w:hint="eastAsia" w:ascii="Times New Roman" w:hAnsi="Times New Roman" w:eastAsia="仿宋" w:cs="Times New Roman"/>
          <w:color w:val="auto"/>
          <w:sz w:val="28"/>
          <w:szCs w:val="28"/>
          <w:highlight w:val="none"/>
        </w:rPr>
        <w:t>苄基腺嘌呤(</w:t>
      </w:r>
      <w:r>
        <w:rPr>
          <w:rFonts w:hint="eastAsia" w:ascii="Times New Roman" w:hAnsi="Times New Roman" w:eastAsia="仿宋" w:cs="Times New Roman"/>
          <w:color w:val="auto"/>
          <w:sz w:val="28"/>
          <w:szCs w:val="28"/>
          <w:highlight w:val="none"/>
          <w:lang w:val="en-US" w:eastAsia="zh-CN"/>
        </w:rPr>
        <w:t>6-BA</w:t>
      </w:r>
      <w:r>
        <w:rPr>
          <w:rFonts w:hint="eastAsia" w:ascii="Times New Roman" w:hAnsi="Times New Roman" w:eastAsia="仿宋" w:cs="Times New Roman"/>
          <w:color w:val="auto"/>
          <w:sz w:val="28"/>
          <w:szCs w:val="28"/>
          <w:highlight w:val="none"/>
        </w:rPr>
        <w:t>)、恩诺沙星、罂粟碱、吗啡、那可丁</w:t>
      </w:r>
      <w:r>
        <w:rPr>
          <w:rFonts w:hint="eastAsia" w:ascii="Times New Roman" w:hAnsi="Times New Roman" w:eastAsia="仿宋" w:cs="Times New Roman"/>
          <w:color w:val="auto"/>
          <w:sz w:val="28"/>
          <w:szCs w:val="28"/>
          <w:highlight w:val="none"/>
          <w:lang w:val="en-US" w:eastAsia="zh-CN"/>
        </w:rPr>
        <w:t>。</w:t>
      </w:r>
      <w:r>
        <w:rPr>
          <w:rFonts w:hint="eastAsia" w:ascii="Times New Roman" w:hAnsi="Times New Roman" w:eastAsia="仿宋" w:cs="Times New Roman"/>
          <w:color w:val="auto"/>
          <w:sz w:val="28"/>
          <w:szCs w:val="28"/>
          <w:highlight w:val="none"/>
        </w:rPr>
        <w:t>不合格样品的检测结果见表</w:t>
      </w:r>
      <w:r>
        <w:rPr>
          <w:rFonts w:hint="eastAsia" w:ascii="Times New Roman" w:hAnsi="Times New Roman" w:eastAsia="仿宋" w:cs="Times New Roman"/>
          <w:color w:val="auto"/>
          <w:sz w:val="28"/>
          <w:szCs w:val="28"/>
          <w:highlight w:val="none"/>
          <w:lang w:val="en-US" w:eastAsia="zh-CN"/>
        </w:rPr>
        <w:t>5</w:t>
      </w:r>
      <w:r>
        <w:rPr>
          <w:rFonts w:hint="eastAsia" w:ascii="Times New Roman" w:hAnsi="Times New Roman" w:eastAsia="仿宋" w:cs="Times New Roman"/>
          <w:color w:val="auto"/>
          <w:sz w:val="28"/>
          <w:szCs w:val="28"/>
          <w:highlight w:val="none"/>
        </w:rPr>
        <w:t>。</w:t>
      </w:r>
    </w:p>
    <w:p>
      <w:pPr>
        <w:pStyle w:val="2"/>
        <w:spacing w:after="0" w:line="360" w:lineRule="auto"/>
        <w:ind w:firstLine="0" w:firstLineChars="0"/>
        <w:jc w:val="center"/>
        <w:rPr>
          <w:rFonts w:ascii="Times New Roman" w:hAnsi="Times New Roman" w:eastAsia="仿宋"/>
          <w:b/>
          <w:bCs/>
          <w:color w:val="auto"/>
          <w:sz w:val="24"/>
          <w:highlight w:val="none"/>
        </w:rPr>
      </w:pPr>
      <w:r>
        <w:rPr>
          <w:rFonts w:hint="eastAsia" w:ascii="仿宋" w:hAnsi="仿宋" w:eastAsia="仿宋" w:cs="仿宋"/>
          <w:b/>
          <w:bCs/>
          <w:color w:val="auto"/>
          <w:sz w:val="28"/>
          <w:szCs w:val="28"/>
          <w:highlight w:val="none"/>
        </w:rPr>
        <w:t>表</w:t>
      </w:r>
      <w:r>
        <w:rPr>
          <w:rFonts w:hint="eastAsia" w:ascii="仿宋" w:hAnsi="仿宋" w:eastAsia="仿宋" w:cs="仿宋"/>
          <w:b/>
          <w:bCs/>
          <w:color w:val="auto"/>
          <w:sz w:val="28"/>
          <w:szCs w:val="28"/>
          <w:highlight w:val="none"/>
          <w:lang w:val="en-US" w:eastAsia="zh-CN"/>
        </w:rPr>
        <w:t>5</w:t>
      </w:r>
      <w:r>
        <w:rPr>
          <w:rFonts w:hint="eastAsia" w:ascii="仿宋" w:hAnsi="仿宋" w:eastAsia="仿宋" w:cs="仿宋"/>
          <w:b/>
          <w:bCs/>
          <w:color w:val="auto"/>
          <w:sz w:val="28"/>
          <w:szCs w:val="28"/>
          <w:highlight w:val="none"/>
        </w:rPr>
        <w:t xml:space="preserve"> 不合格样品检测结果分布一览表</w:t>
      </w:r>
    </w:p>
    <w:tbl>
      <w:tblPr>
        <w:tblStyle w:val="18"/>
        <w:tblW w:w="9522" w:type="dxa"/>
        <w:jc w:val="center"/>
        <w:shd w:val="clear" w:color="auto" w:fill="auto"/>
        <w:tblLayout w:type="fixed"/>
        <w:tblCellMar>
          <w:top w:w="0" w:type="dxa"/>
          <w:left w:w="0" w:type="dxa"/>
          <w:bottom w:w="0" w:type="dxa"/>
          <w:right w:w="0" w:type="dxa"/>
        </w:tblCellMar>
      </w:tblPr>
      <w:tblGrid>
        <w:gridCol w:w="656"/>
        <w:gridCol w:w="1849"/>
        <w:gridCol w:w="2037"/>
        <w:gridCol w:w="966"/>
        <w:gridCol w:w="1125"/>
        <w:gridCol w:w="2889"/>
      </w:tblGrid>
      <w:tr>
        <w:tblPrEx>
          <w:shd w:val="clear" w:color="auto" w:fill="auto"/>
          <w:tblCellMar>
            <w:top w:w="0" w:type="dxa"/>
            <w:left w:w="0" w:type="dxa"/>
            <w:bottom w:w="0" w:type="dxa"/>
            <w:right w:w="0" w:type="dxa"/>
          </w:tblCellMar>
        </w:tblPrEx>
        <w:trPr>
          <w:trHeight w:val="856" w:hRule="atLeast"/>
          <w:tblHeader/>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序号</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被抽样单位名称</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被抽样单位地址</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样品名称</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食品类别</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b/>
                <w:i w:val="0"/>
                <w:color w:val="auto"/>
                <w:sz w:val="24"/>
                <w:szCs w:val="24"/>
                <w:highlight w:val="none"/>
                <w:u w:val="none"/>
              </w:rPr>
            </w:pPr>
            <w:r>
              <w:rPr>
                <w:rFonts w:hint="eastAsia" w:ascii="仿宋" w:hAnsi="仿宋" w:eastAsia="仿宋" w:cs="仿宋"/>
                <w:b/>
                <w:i w:val="0"/>
                <w:color w:val="auto"/>
                <w:kern w:val="0"/>
                <w:sz w:val="24"/>
                <w:szCs w:val="24"/>
                <w:highlight w:val="none"/>
                <w:u w:val="none"/>
                <w:lang w:val="en-US" w:eastAsia="zh-CN" w:bidi="ar"/>
              </w:rPr>
              <w:t>不合格项目║检验结果║标准要求</w:t>
            </w:r>
          </w:p>
        </w:tc>
      </w:tr>
      <w:tr>
        <w:tblPrEx>
          <w:shd w:val="clear" w:color="auto" w:fill="auto"/>
          <w:tblCellMar>
            <w:top w:w="0" w:type="dxa"/>
            <w:left w:w="0" w:type="dxa"/>
            <w:bottom w:w="0" w:type="dxa"/>
            <w:right w:w="0" w:type="dxa"/>
          </w:tblCellMar>
        </w:tblPrEx>
        <w:trPr>
          <w:trHeight w:val="48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伊川县喜国百货购物广场</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洛阳市伊川县平等乡平等村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特价韭菜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腐霉利║0.40mg/kg║≤ 0.2mg/kg</w:t>
            </w:r>
          </w:p>
        </w:tc>
      </w:tr>
      <w:tr>
        <w:tblPrEx>
          <w:shd w:val="clear" w:color="auto" w:fill="auto"/>
          <w:tblCellMar>
            <w:top w:w="0" w:type="dxa"/>
            <w:left w:w="0" w:type="dxa"/>
            <w:bottom w:w="0" w:type="dxa"/>
            <w:right w:w="0" w:type="dxa"/>
          </w:tblCellMar>
        </w:tblPrEx>
        <w:trPr>
          <w:trHeight w:val="144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伊川县鸣皋爱德购物广场</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洛阳市伊川县鸣皋镇鸣皋村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精品香蕉</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吡虫啉║0.0644mg/kg║≤ 0.05mg/kg</w:t>
            </w:r>
          </w:p>
        </w:tc>
      </w:tr>
      <w:tr>
        <w:tblPrEx>
          <w:shd w:val="clear" w:color="auto" w:fill="auto"/>
          <w:tblCellMar>
            <w:top w:w="0" w:type="dxa"/>
            <w:left w:w="0" w:type="dxa"/>
            <w:bottom w:w="0" w:type="dxa"/>
            <w:right w:w="0" w:type="dxa"/>
          </w:tblCellMar>
        </w:tblPrEx>
        <w:trPr>
          <w:trHeight w:val="120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伊川县乐美嘉食品超市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河南省洛阳市伊川县水寨镇龙腾大道龙腾小区1号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尖椒</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噻虫胺║0.13mg/kg║≤ 0.05mg/kg</w:t>
            </w:r>
          </w:p>
        </w:tc>
      </w:tr>
      <w:tr>
        <w:tblPrEx>
          <w:shd w:val="clear" w:color="auto" w:fill="auto"/>
          <w:tblCellMar>
            <w:top w:w="0" w:type="dxa"/>
            <w:left w:w="0" w:type="dxa"/>
            <w:bottom w:w="0" w:type="dxa"/>
            <w:right w:w="0" w:type="dxa"/>
          </w:tblCellMar>
        </w:tblPrEx>
        <w:trPr>
          <w:trHeight w:val="48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伊川县万杰卤肉店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洛阳市伊川县白元镇金山大道238号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卤猪肺</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亚硝酸盐(以亚硝酸钠计)║23mg/kg║不得使用</w:t>
            </w:r>
          </w:p>
        </w:tc>
      </w:tr>
      <w:tr>
        <w:tblPrEx>
          <w:shd w:val="clear" w:color="auto" w:fill="auto"/>
          <w:tblCellMar>
            <w:top w:w="0" w:type="dxa"/>
            <w:left w:w="0" w:type="dxa"/>
            <w:bottom w:w="0" w:type="dxa"/>
            <w:right w:w="0" w:type="dxa"/>
          </w:tblCellMar>
        </w:tblPrEx>
        <w:trPr>
          <w:trHeight w:val="72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伊川县万杰卤肉店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洛阳市伊川县白元镇金山大道238号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卤猪头肉</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亚硝酸盐(以亚硝酸钠计)║14mg/kg║不得使用</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伊川县锦辉量贩水寨店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河南省洛阳市伊川县水寨镇商业街72号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韭菜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腐霉利║0.30mg/kg║≤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7</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洛阳诺诛商贸有限公司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洛阳市伊川县彭婆镇南衙村北100米</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长豆角</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噻虫嗪║0.70mg/kg║≤ 0.3mg/kg║噻虫胺║0.043mg/kg║≤ 0.01mg/kg</w:t>
            </w:r>
          </w:p>
        </w:tc>
      </w:tr>
      <w:tr>
        <w:tblPrEx>
          <w:shd w:val="clear" w:color="auto" w:fill="auto"/>
          <w:tblCellMar>
            <w:top w:w="0" w:type="dxa"/>
            <w:left w:w="0" w:type="dxa"/>
            <w:bottom w:w="0" w:type="dxa"/>
            <w:right w:w="0" w:type="dxa"/>
          </w:tblCellMar>
        </w:tblPrEx>
        <w:trPr>
          <w:trHeight w:val="9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8</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伊川县水寨丽涛购物广场店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河南省洛阳市伊川县水寨镇商品街7号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老姜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噻虫胺║2.2mg/kg║≤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9</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伊川县水寨丽涛购物广场店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河南省洛阳市伊川县水寨镇商品街7号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优质香蕉</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噻虫嗪║0.085mg/kg║≤ 0.02mg/kg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10</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伊川县鸣皋鹏泰超市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洛阳市伊川县鸣皋镇鸣皋村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生姜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吡虫啉║0.803mg/kg║≤ 0.5mg/kg║噻虫胺║0.64mg/kg║≤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11</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伊川县鸣皋丽涛购物广场</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河南省洛阳市伊川县鸣皋镇鸣皋村洛栾路北段</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老姜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噻虫胺║0.30mg/kg║≤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12</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伊川县太吃香卤肉馆</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伊川县水寨镇国家电网对面4号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卤猪耳朵</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亚硝酸盐(以亚硝酸钠计)║22mg/kg║不得使用</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13</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伊川县食客餐饮店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伊川县彭婆镇市场口北50米</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筷子</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大肠菌群║检出║不得检出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14</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伊川县食客餐饮店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伊川县彭婆镇市场口北50米</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碗</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大肠菌群║检出║不得检出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15</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伊川县吕店乐达百货超市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伊川县吕店市场</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韭菜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腐霉利║0.63mg/kg║≤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16</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伊川县鸦岭好又多百货超市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河南省洛阳市伊川县鸦岭乡鸦岭卫生院南50米</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黄豆芽</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6-苄基腺嘌呤(6-BA)║0.0336mg/kg║不得检出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17</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伊川县万客来百货超市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洛阳市伊川县白元镇金山大道中段</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韭菜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腐霉利║0.52mg/kg║≤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18</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洛阳市苗载实业有限公司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洛阳市伊川县鸦岭乡鸦岭村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尖椒</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噻虫胺║0.15mg/kg║≤ 0.05mg/kg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19</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伊川县吕店天天汇超市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河南省伊川县吕店镇吕店村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菊花晶</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饮料</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菌落总数║1.6×10³，2.1×10³，1.6×10³，1.4×10³，1.4×10³CFU/g║n=5,c=2,m=10³,M=5×10⁴CFU/g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20</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伊川县家佳惠购物广场</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河南省洛阳市伊川县高山乡高山市场188号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绿豆芽</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6-苄基腺嘌呤(6-BA)║0.0187mg/kg║不得检出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21</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永辉超市河南有限公司伊川人民路分公司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洛阳市伊川县杜康大道人民路交叉口东400米路北欧美商贸城</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牛蛙（精品）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恩诺沙星║155μg/kg║≤ 100μg/kg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22</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永辉超市河南有限公司伊川人民路分公司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洛阳市伊川县杜康大道人民路交叉口东400米路北欧美商贸城</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本地芹菜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噻虫胺║0.083mg/kg║≤ 0.04mg/kg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23</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洛阳八佰伴连锁超市有限公司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河南省洛阳市伊川县城关街道办事处文化北路路东2号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菠菜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阿维菌素║0.21mg/kg║≤ 0.05mg/kg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24</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伊川县雅兴百货批发部酒城北路店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河南省洛阳市伊川县城关街道办事处酒城北路夔驿商务楼一楼</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毛桃</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克百威║0.075mg/kg║≤ 0.02mg/kg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25</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伊川县雅兴百货批发部酒城北路店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河南省洛阳市伊川县城关街道办事处酒城北路夔驿商务楼一楼</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干姜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噻虫胺║0.86mg/kg║≤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26</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伊川县乐鲜超市店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河南省洛阳市伊川县城关镇酒城北路38号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长豆角</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噻虫胺║0.061mg/kg║≤ 0.01mg/kg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27</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伊川县睿曦百货超市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河南省洛阳市伊川县城关街道杜康大道县直三小南50米512号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甜桃</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克百威║0.13mg/kg║≤ 0.02mg/kg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28</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伊川县常峪堡远航商贸生活超市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洛阳市伊川县白元镇常峪堡村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芹菜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噻虫胺║0.11mg/kg║≤ 0.04mg/kg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29</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伊川县好邻居超市八一路店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洛阳市伊川县城关镇八一路中段凤凰城楼下</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芹菜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毒死蜱║0.12mg/kg║≤ 0.05mg/kg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30</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洛阳冉鹊实业有限公司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洛阳市伊川县葛寨镇葛寨村凯旋路9号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尖椒</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啶虫脒║0.481mg/kg║≤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31</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伊川县文涛百货批发部</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伊川县白沙镇豆村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辣椒</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啶虫脒║0.507mg/kg║≤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32</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伊川县渠旺卤肉店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洛阳市伊川县酒后镇渠旺村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卤猪肺</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亚硝酸盐(以亚硝酸钠计)║17mg/kg║不得使用</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33</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伊川县小胖农家菜馆</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洛阳市伊川县城关镇八一路金龙花园门口</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卤鸡胗</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亚硝酸盐(以亚硝酸钠计)║19mg/kg║不得使用</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34</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伊川县优信批发商行</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伊川县鸦岭乡亓岭村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生姜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噻虫胺║0.93mg/kg║≤ 0.2mg/kg║噻虫嗪║3.7mg/kg║≤ 0.3mg/kg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35</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伊川县鸦岭乡鑫祥批发部</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洛阳市伊川县鸦岭乡张坡村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芹菜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毒死蜱║0.092mg/kg║≤ 0.05mg/kg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36</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伊川县惠宜家百货超市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伊川县鸦岭镇常川街30号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荔枝</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氯氟氰菊酯和高效氯氟氰菊酯║0.41mg/kg║≤ 0.1mg/kg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37</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伊川县平等伊昌副食超市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洛阳市伊川县平等乡宋店村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韭菜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克百威║0.052mg/kg║≤ 0.02mg/kg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38</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伊川县昊锦百货超市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河南省洛阳市伊川县城关镇林溪公馆西门消防门南第1间</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韭菜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腐霉利║0.27mg/kg║≤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39</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伊川县昊锦百货超市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河南省洛阳市伊川县城关镇林溪公馆西门消防门南第1间</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精品香蕉</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吡虫啉║0.0739mg/kg║≤ 0.05mg/kg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40</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伊川县食肆辣椒炒肉餐饮店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河南省洛阳市伊川县城关镇伊尹路新城北路口北50米路东</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餐盘</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阴离子合成洗涤剂(以十二烷基苯磺酸钠计)║0.0108mg/100cm²║不得检出║大肠菌群║检出║不得检出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41</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伊川县食肆辣椒炒肉餐饮店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河南省洛阳市伊川县城关镇伊尹路新城北路口北50米路东</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碗</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阴离子合成洗涤剂(以十二烷基苯磺酸钠计)║0.0123mg/100cm²║不得检出║大肠菌群║检出║不得检出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42</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伊川君安物业管理有限公司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洛阳市伊川县立奇大厦C区十一楼楼</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大碗</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阴离子合成洗涤剂(以十二烷基苯磺酸钠计)║0.0177mg/100cm²║不得检出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43</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伊川县德庄火锅店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河南省洛阳市伊川县城关街道伊尹路中石化加油站北50米539号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碟子</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大肠菌群║检出║不得检出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44</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洛阳汉华商贸有限公司伊川分公司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河南省洛阳市伊川县城关街道办事处杜康大道与豫港大道口东北角东50米路北</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上海青（小）</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阿维菌素║0.54mg/kg║≤ 0.1mg/kg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45</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伊川县福客来购物超市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洛阳市伊川县白元镇白元村金山寺正对面</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韭菜</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腐霉利║0.30mg/kg║≤ 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46</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伊川县平等乡第一初级中学</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河南省伊川县平等乡平等村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黄豆芽</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4-氯苯氧乙酸钠(以4-氯苯氧乙酸计)║0.0708mg/kg║不得检出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47</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伊川县平等乡第一初级中学</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河南省伊川县平等乡平等村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茄子</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噻虫胺║0.38mg/kg║≤ 0.05mg/kg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48</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伊川县滨河高级中学</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伊川县滨河新区伊河东岸</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小碗</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阴离子合成洗涤剂(以十二烷基苯磺酸钠计)║0.033mg/100cm²║不得检出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49</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伊川县新时代高级中学</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河南省洛阳市伊川县伊东新区龙腾大道北段S238省道路西</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双宫灯料酒</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调味品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苯甲酸及其钠盐(以苯甲酸计)║3.04g/kg║不得使用</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50</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伊川县东城高中</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河南省洛阳市伊川县水寨镇姬磨村南</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小碗</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大肠菌群║检出║不得检出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51</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伊川县味不同卤肉店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伊川县城关街道人民西路与文化南路交叉口向西35米路南22号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卤大肠</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罂粟碱║15.1μg/kg║不得检出║那可丁║19.6μg/kg║不得检出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52</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伊川县味不同卤肉店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伊川县城关街道人民西路与文化南路交叉口向西35米路南22号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卤汤</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吗啡║110μg/kg║不得检出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53</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伊川县鸣皋宗卫饭店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河南省洛阳市伊川县鸣皋镇鸣皋村鸣酒路中段</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卤猪皮</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亚硝酸盐(以亚硝酸钠计)║40mg/kg║不得检出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54</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伊川县鸣皋宗卫饭店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河南省洛阳市伊川县鸣皋镇鸣皋村鸣酒路中段</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卤猪大肠</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亚硝酸盐(以亚硝酸钠计)║54mg/kg║不得检出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55</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伊川县鸣皋骨里香烧鸡店</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河南省伊川县鸣皋镇鸣皋村</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卤猪头肉</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亚硝酸盐(以亚硝酸钠计)║23mg/kg║不得检出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56</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伊川县花都农夫熟食坊</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伊川县城关镇植物园路与八一路交叉口西20米344号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五香鸡腿</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餐饮食品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亚硝酸盐(以亚硝酸钠计)║11mg/kg║不得检出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57</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伊川县牛鲜生生活超市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河南省洛阳市伊川县城关镇倚林佳园1号楼南侧</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青茄</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噻虫胺║0.19mg/kg║≤ 0.05mg/kg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58</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伊川县牛鲜生生活超市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河南省洛阳市伊川县城关镇倚林佳园1号楼南侧</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绿豆芽</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6-苄基腺嘌呤(6-BA)║0.0327mg/kg║不得检出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59</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洛阳汉华商贸有限公司伊川分公司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河南省洛阳市伊川县城关街道办事处杜康大道与豫港大道口东北角东50米路北</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香蕉（优质）</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吡虫啉║0.0697mg/kg║≤ 0.05mg/kg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60</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伊川县鲜乐生活超市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河南省洛阳市伊川县城关街道办事处商都路东段龙腾名流居东大门1号</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精品香蕉</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噻虫嗪║0.11mg/kg║≤ 0.02mg/kg</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61</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伊川县来万客生活超市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伊川县城关镇彭庄</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绿豆芽</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6-苄基腺嘌呤(6-BA)║0.0291mg/kg║不得检出</w:t>
            </w:r>
          </w:p>
        </w:tc>
      </w:tr>
      <w:tr>
        <w:tblPrEx>
          <w:shd w:val="clear" w:color="auto" w:fill="auto"/>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62</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洛阳寓家乐商贸有限公司</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洛阳市伊川县城关街道办事处周村社区</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香蕉</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噻虫嗪║0.097mg/kg║≤ 0.02mg/kg</w:t>
            </w:r>
          </w:p>
        </w:tc>
      </w:tr>
      <w:tr>
        <w:tblPrEx>
          <w:tblCellMar>
            <w:top w:w="0" w:type="dxa"/>
            <w:left w:w="0" w:type="dxa"/>
            <w:bottom w:w="0" w:type="dxa"/>
            <w:right w:w="0" w:type="dxa"/>
          </w:tblCellMar>
        </w:tblPrEx>
        <w:trPr>
          <w:trHeight w:val="960" w:hRule="atLeast"/>
          <w:jc w:val="center"/>
        </w:trPr>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63</w:t>
            </w:r>
          </w:p>
        </w:tc>
        <w:tc>
          <w:tcPr>
            <w:tcW w:w="1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伊川县今生缘购物广场超市</w:t>
            </w:r>
          </w:p>
        </w:tc>
        <w:tc>
          <w:tcPr>
            <w:tcW w:w="20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河南省洛阳市伊川县城关镇新鹏路与景艺路交叉口南200米路东</w:t>
            </w:r>
          </w:p>
        </w:tc>
        <w:tc>
          <w:tcPr>
            <w:tcW w:w="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香蕉</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食用农产品</w:t>
            </w:r>
          </w:p>
        </w:tc>
        <w:tc>
          <w:tcPr>
            <w:tcW w:w="2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8" w:lineRule="auto"/>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噻虫嗪║0.066mg/kg║≤ 0.02mg/kg</w:t>
            </w:r>
          </w:p>
        </w:tc>
      </w:tr>
    </w:tbl>
    <w:p>
      <w:pPr>
        <w:pStyle w:val="2"/>
        <w:spacing w:after="0" w:line="360" w:lineRule="auto"/>
        <w:ind w:firstLine="0" w:firstLineChars="0"/>
        <w:jc w:val="center"/>
        <w:rPr>
          <w:rFonts w:ascii="Times New Roman" w:hAnsi="Times New Roman" w:eastAsia="仿宋"/>
          <w:b/>
          <w:bCs/>
          <w:color w:val="auto"/>
          <w:sz w:val="24"/>
          <w:highlight w:val="none"/>
        </w:rPr>
      </w:pPr>
    </w:p>
    <w:p>
      <w:pPr>
        <w:rPr>
          <w:rFonts w:hint="eastAsia" w:ascii="仿宋" w:hAnsi="仿宋" w:eastAsia="仿宋"/>
          <w:b/>
          <w:color w:val="auto"/>
          <w:sz w:val="28"/>
          <w:szCs w:val="28"/>
          <w:highlight w:val="none"/>
        </w:rPr>
      </w:pPr>
      <w:r>
        <w:rPr>
          <w:rFonts w:hint="eastAsia"/>
          <w:b/>
          <w:color w:val="auto"/>
          <w:sz w:val="28"/>
          <w:szCs w:val="28"/>
          <w:highlight w:val="none"/>
          <w:lang w:val="en-US" w:eastAsia="zh-CN"/>
        </w:rPr>
        <w:t xml:space="preserve">2.3.2 </w:t>
      </w:r>
      <w:r>
        <w:rPr>
          <w:rFonts w:hint="eastAsia" w:ascii="仿宋" w:hAnsi="仿宋" w:eastAsia="仿宋"/>
          <w:b/>
          <w:color w:val="auto"/>
          <w:sz w:val="28"/>
          <w:szCs w:val="28"/>
          <w:highlight w:val="none"/>
        </w:rPr>
        <w:t>不合格项目危害性分析</w:t>
      </w:r>
    </w:p>
    <w:p>
      <w:pPr>
        <w:pStyle w:val="17"/>
        <w:spacing w:after="0" w:line="360" w:lineRule="auto"/>
        <w:ind w:left="0" w:leftChars="0" w:firstLine="560"/>
        <w:rPr>
          <w:rFonts w:hint="eastAsia" w:ascii="Times New Roman" w:hAnsi="Times New Roman" w:eastAsia="仿宋" w:cs="Times New Roman"/>
          <w:color w:val="auto"/>
          <w:kern w:val="0"/>
          <w:sz w:val="28"/>
          <w:szCs w:val="28"/>
          <w:highlight w:val="none"/>
          <w:lang w:val="en-US" w:eastAsia="zh-CN" w:bidi="ar-SA"/>
        </w:rPr>
      </w:pPr>
      <w:r>
        <w:rPr>
          <w:rFonts w:hint="eastAsia" w:ascii="Times New Roman" w:hAnsi="Times New Roman" w:eastAsia="仿宋" w:cs="Times New Roman"/>
          <w:color w:val="auto"/>
          <w:kern w:val="0"/>
          <w:sz w:val="28"/>
          <w:szCs w:val="28"/>
          <w:highlight w:val="none"/>
          <w:lang w:val="en-US" w:eastAsia="zh-CN" w:bidi="ar-SA"/>
        </w:rPr>
        <w:t>本次抽检任务发现的不合格项目共计</w:t>
      </w:r>
      <w:r>
        <w:rPr>
          <w:rFonts w:hint="eastAsia" w:ascii="Times New Roman" w:hAnsi="Times New Roman" w:cs="Times New Roman"/>
          <w:color w:val="auto"/>
          <w:sz w:val="28"/>
          <w:szCs w:val="28"/>
          <w:highlight w:val="none"/>
          <w:lang w:val="en-US" w:eastAsia="zh-CN"/>
        </w:rPr>
        <w:t>20</w:t>
      </w:r>
      <w:r>
        <w:rPr>
          <w:rFonts w:hint="eastAsia" w:ascii="Times New Roman" w:hAnsi="Times New Roman" w:eastAsia="仿宋" w:cs="Times New Roman"/>
          <w:color w:val="auto"/>
          <w:kern w:val="0"/>
          <w:sz w:val="28"/>
          <w:szCs w:val="28"/>
          <w:highlight w:val="none"/>
          <w:lang w:val="en-US" w:eastAsia="zh-CN" w:bidi="ar-SA"/>
        </w:rPr>
        <w:t>项，分别</w:t>
      </w:r>
      <w:r>
        <w:rPr>
          <w:rFonts w:hint="eastAsia" w:ascii="Times New Roman" w:hAnsi="Times New Roman" w:eastAsia="仿宋" w:cs="Times New Roman"/>
          <w:color w:val="auto"/>
          <w:kern w:val="2"/>
          <w:sz w:val="28"/>
          <w:szCs w:val="28"/>
          <w:highlight w:val="none"/>
          <w:lang w:val="en-US" w:eastAsia="zh-CN" w:bidi="ar-SA"/>
        </w:rPr>
        <w:t>为阿维菌素、克百威、毒死蜱、啶虫脒、氯氟氰菊酯和高效氯氟氰菊酯、噻虫嗪、腐霉利、吡虫啉、噻虫胺、亚硝酸盐(以亚硝酸钠计)、苯甲酸及其钠盐(以苯甲酸计)、阴离子合成洗涤剂(以十二烷基苯磺酸钠计)、菌落总数、大肠菌群、4-氯苯氧乙酸钠(以4-氯苯氧乙酸计)、6-苄基腺嘌呤(6-BA)、恩诺沙星、罂粟碱、吗啡、那可丁</w:t>
      </w:r>
      <w:r>
        <w:rPr>
          <w:rFonts w:hint="eastAsia" w:ascii="Times New Roman" w:hAnsi="Times New Roman" w:eastAsia="仿宋" w:cs="Times New Roman"/>
          <w:color w:val="auto"/>
          <w:kern w:val="0"/>
          <w:sz w:val="28"/>
          <w:szCs w:val="28"/>
          <w:highlight w:val="none"/>
          <w:lang w:val="en-US" w:eastAsia="zh-CN" w:bidi="ar-SA"/>
        </w:rPr>
        <w:t>。</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b/>
          <w:bCs/>
          <w:i w:val="0"/>
          <w:iCs w:val="0"/>
          <w:color w:val="auto"/>
          <w:kern w:val="0"/>
          <w:sz w:val="28"/>
          <w:szCs w:val="28"/>
          <w:highlight w:val="none"/>
          <w:u w:val="none"/>
          <w:lang w:val="en-US" w:eastAsia="zh-CN" w:bidi="ar"/>
        </w:rPr>
      </w:pPr>
      <w:r>
        <w:rPr>
          <w:rFonts w:hint="eastAsia" w:cs="仿宋"/>
          <w:b/>
          <w:bCs/>
          <w:color w:val="auto"/>
          <w:kern w:val="0"/>
          <w:sz w:val="28"/>
          <w:szCs w:val="28"/>
          <w:highlight w:val="none"/>
          <w:lang w:val="en-US" w:eastAsia="zh-CN" w:bidi="ar-SA"/>
        </w:rPr>
        <w:t xml:space="preserve">2.3.2.1 </w:t>
      </w:r>
      <w:r>
        <w:rPr>
          <w:rFonts w:hint="eastAsia" w:ascii="Times New Roman" w:hAnsi="Times New Roman" w:eastAsia="仿宋" w:cs="Times New Roman"/>
          <w:b/>
          <w:bCs/>
          <w:color w:val="auto"/>
          <w:kern w:val="0"/>
          <w:sz w:val="28"/>
          <w:szCs w:val="28"/>
          <w:highlight w:val="none"/>
          <w:lang w:val="en-US" w:eastAsia="zh-CN" w:bidi="ar-SA"/>
        </w:rPr>
        <w:t>阿维菌素</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ascii="Times New Roman" w:hAnsi="Times New Roman" w:eastAsia="仿宋" w:cs="Times New Roman"/>
          <w:b/>
          <w:bCs/>
          <w:color w:val="auto"/>
          <w:kern w:val="0"/>
          <w:sz w:val="28"/>
          <w:szCs w:val="28"/>
          <w:highlight w:val="none"/>
          <w:lang w:val="en-US" w:eastAsia="zh-CN" w:bidi="ar-SA"/>
        </w:rPr>
      </w:pPr>
      <w:r>
        <w:rPr>
          <w:rFonts w:ascii="Times New Roman" w:hAnsi="Times New Roman" w:eastAsia="仿宋" w:cs="Times New Roman"/>
          <w:b/>
          <w:bCs/>
          <w:color w:val="auto"/>
          <w:kern w:val="0"/>
          <w:sz w:val="28"/>
          <w:szCs w:val="28"/>
          <w:highlight w:val="none"/>
          <w:lang w:val="en-US" w:eastAsia="zh-CN" w:bidi="ar-SA"/>
        </w:rPr>
        <w:t>共计在</w:t>
      </w:r>
      <w:r>
        <w:rPr>
          <w:rFonts w:hint="eastAsia" w:ascii="Times New Roman" w:hAnsi="Times New Roman" w:cs="Times New Roman"/>
          <w:b/>
          <w:bCs/>
          <w:color w:val="auto"/>
          <w:kern w:val="0"/>
          <w:sz w:val="28"/>
          <w:szCs w:val="28"/>
          <w:highlight w:val="none"/>
          <w:lang w:val="en-US" w:eastAsia="zh-CN" w:bidi="ar-SA"/>
        </w:rPr>
        <w:t>2</w:t>
      </w:r>
      <w:r>
        <w:rPr>
          <w:rFonts w:ascii="Times New Roman" w:hAnsi="Times New Roman" w:eastAsia="仿宋" w:cs="Times New Roman"/>
          <w:b/>
          <w:bCs/>
          <w:color w:val="auto"/>
          <w:kern w:val="0"/>
          <w:sz w:val="28"/>
          <w:szCs w:val="28"/>
          <w:highlight w:val="none"/>
          <w:lang w:val="en-US" w:eastAsia="zh-CN" w:bidi="ar-SA"/>
        </w:rPr>
        <w:t>批次不合格样品中检出，占不合格样品总数的</w:t>
      </w:r>
      <w:r>
        <w:rPr>
          <w:rFonts w:hint="eastAsia" w:ascii="Times New Roman" w:hAnsi="Times New Roman" w:cs="Times New Roman"/>
          <w:b/>
          <w:bCs/>
          <w:color w:val="auto"/>
          <w:kern w:val="0"/>
          <w:sz w:val="28"/>
          <w:szCs w:val="28"/>
          <w:highlight w:val="none"/>
          <w:lang w:val="en-US" w:eastAsia="zh-CN" w:bidi="ar-SA"/>
        </w:rPr>
        <w:t>3.17</w:t>
      </w:r>
      <w:r>
        <w:rPr>
          <w:rFonts w:hint="eastAsia" w:ascii="Times New Roman" w:hAnsi="Times New Roman" w:eastAsia="仿宋"/>
          <w:b/>
          <w:bCs/>
          <w:color w:val="auto"/>
          <w:sz w:val="28"/>
          <w:szCs w:val="28"/>
          <w:highlight w:val="none"/>
        </w:rPr>
        <w:t>%</w:t>
      </w:r>
      <w:r>
        <w:rPr>
          <w:rFonts w:hint="eastAsia" w:ascii="Times New Roman" w:hAnsi="Times New Roman"/>
          <w:b/>
          <w:bCs/>
          <w:color w:val="auto"/>
          <w:sz w:val="28"/>
          <w:szCs w:val="28"/>
          <w:highlight w:val="none"/>
          <w:lang w:eastAsia="zh-CN"/>
        </w:rPr>
        <w:t>，</w:t>
      </w:r>
      <w:r>
        <w:rPr>
          <w:rFonts w:ascii="Times New Roman" w:hAnsi="Times New Roman" w:eastAsia="仿宋" w:cs="Times New Roman"/>
          <w:b/>
          <w:bCs/>
          <w:color w:val="auto"/>
          <w:kern w:val="0"/>
          <w:sz w:val="28"/>
          <w:szCs w:val="28"/>
          <w:highlight w:val="none"/>
          <w:lang w:val="en-US" w:eastAsia="zh-CN" w:bidi="ar-SA"/>
        </w:rPr>
        <w:t>集中在</w:t>
      </w:r>
      <w:r>
        <w:rPr>
          <w:rFonts w:hint="eastAsia" w:ascii="Times New Roman" w:hAnsi="Times New Roman" w:cs="Times New Roman"/>
          <w:b/>
          <w:bCs/>
          <w:color w:val="auto"/>
          <w:kern w:val="0"/>
          <w:sz w:val="28"/>
          <w:szCs w:val="28"/>
          <w:highlight w:val="none"/>
          <w:lang w:val="en-US" w:eastAsia="zh-CN" w:bidi="ar-SA"/>
        </w:rPr>
        <w:t>食用农产品</w:t>
      </w:r>
      <w:r>
        <w:rPr>
          <w:rFonts w:ascii="Times New Roman" w:hAnsi="Times New Roman" w:eastAsia="仿宋" w:cs="Times New Roman"/>
          <w:b/>
          <w:bCs/>
          <w:color w:val="auto"/>
          <w:kern w:val="0"/>
          <w:sz w:val="28"/>
          <w:szCs w:val="2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阿维菌素是一种抗生素类杀虫、杀螨、杀线虫剂，具有广谱、高效、低残留等特点。《食品安全国家标准 食品中农药最大残留限量》（GB 2763-2021）中规定，阿维菌素在菠菜中的最大残留限量为0.05mg/kg，在小油菜中的最大残留限量为0.1mg/kg。少量的农药残留不会引起人体急性中毒，但长期食用农药残留超标的食品，对人体健康有一定影响。</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2.3.2.2 克百威</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ascii="Times New Roman" w:hAnsi="Times New Roman" w:eastAsia="仿宋" w:cs="Times New Roman"/>
          <w:b/>
          <w:bCs/>
          <w:color w:val="auto"/>
          <w:kern w:val="0"/>
          <w:sz w:val="28"/>
          <w:szCs w:val="28"/>
          <w:highlight w:val="none"/>
          <w:lang w:val="en-US" w:eastAsia="zh-CN" w:bidi="ar-SA"/>
        </w:rPr>
      </w:pPr>
      <w:r>
        <w:rPr>
          <w:rFonts w:ascii="Times New Roman" w:hAnsi="Times New Roman" w:eastAsia="仿宋" w:cs="Times New Roman"/>
          <w:b/>
          <w:bCs/>
          <w:color w:val="auto"/>
          <w:kern w:val="0"/>
          <w:sz w:val="28"/>
          <w:szCs w:val="28"/>
          <w:highlight w:val="none"/>
          <w:lang w:val="en-US" w:eastAsia="zh-CN" w:bidi="ar-SA"/>
        </w:rPr>
        <w:t>共计在</w:t>
      </w:r>
      <w:r>
        <w:rPr>
          <w:rFonts w:hint="eastAsia" w:ascii="Times New Roman" w:hAnsi="Times New Roman" w:eastAsia="仿宋" w:cs="Times New Roman"/>
          <w:b/>
          <w:bCs/>
          <w:color w:val="auto"/>
          <w:kern w:val="0"/>
          <w:sz w:val="28"/>
          <w:szCs w:val="28"/>
          <w:highlight w:val="none"/>
          <w:lang w:val="en-US" w:eastAsia="zh-CN" w:bidi="ar-SA"/>
        </w:rPr>
        <w:t>3</w:t>
      </w:r>
      <w:r>
        <w:rPr>
          <w:rFonts w:ascii="Times New Roman" w:hAnsi="Times New Roman" w:eastAsia="仿宋" w:cs="Times New Roman"/>
          <w:b/>
          <w:bCs/>
          <w:color w:val="auto"/>
          <w:kern w:val="0"/>
          <w:sz w:val="28"/>
          <w:szCs w:val="28"/>
          <w:highlight w:val="none"/>
          <w:lang w:val="en-US" w:eastAsia="zh-CN" w:bidi="ar-SA"/>
        </w:rPr>
        <w:t>批次不合格样品中检出，占不合格样品总数的</w:t>
      </w:r>
      <w:r>
        <w:rPr>
          <w:rFonts w:hint="eastAsia" w:ascii="Times New Roman" w:hAnsi="Times New Roman" w:eastAsia="仿宋" w:cs="Times New Roman"/>
          <w:b/>
          <w:bCs/>
          <w:color w:val="auto"/>
          <w:kern w:val="0"/>
          <w:sz w:val="28"/>
          <w:szCs w:val="28"/>
          <w:highlight w:val="none"/>
          <w:lang w:val="en-US" w:eastAsia="zh-CN" w:bidi="ar-SA"/>
        </w:rPr>
        <w:t>4.76%，</w:t>
      </w:r>
      <w:r>
        <w:rPr>
          <w:rFonts w:ascii="Times New Roman" w:hAnsi="Times New Roman" w:eastAsia="仿宋" w:cs="Times New Roman"/>
          <w:b/>
          <w:bCs/>
          <w:color w:val="auto"/>
          <w:kern w:val="0"/>
          <w:sz w:val="28"/>
          <w:szCs w:val="28"/>
          <w:highlight w:val="none"/>
          <w:lang w:val="en-US" w:eastAsia="zh-CN" w:bidi="ar-SA"/>
        </w:rPr>
        <w:t>集中在</w:t>
      </w:r>
      <w:r>
        <w:rPr>
          <w:rFonts w:hint="eastAsia" w:ascii="Times New Roman" w:hAnsi="Times New Roman" w:eastAsia="仿宋" w:cs="Times New Roman"/>
          <w:b/>
          <w:bCs/>
          <w:color w:val="auto"/>
          <w:kern w:val="0"/>
          <w:sz w:val="28"/>
          <w:szCs w:val="28"/>
          <w:highlight w:val="none"/>
          <w:lang w:val="en-US" w:eastAsia="zh-CN" w:bidi="ar-SA"/>
        </w:rPr>
        <w:t>食用农产品</w:t>
      </w:r>
      <w:r>
        <w:rPr>
          <w:rFonts w:ascii="Times New Roman" w:hAnsi="Times New Roman" w:eastAsia="仿宋" w:cs="Times New Roman"/>
          <w:b/>
          <w:bCs/>
          <w:color w:val="auto"/>
          <w:kern w:val="0"/>
          <w:sz w:val="28"/>
          <w:szCs w:val="2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克百威，属于高毒农药，是一种广谱性杀虫、杀螨、杀线虫剂，不仅具有触杀、胃毒作用，并具有很强的内吸活性。克百威不易降解，容易造成环境污染。少量的农药残留不会导致急性中毒，但长期食用农药残留超标的蔬菜，可能对人体健康产生一定的不良影响。</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2.3.2.3 毒死蜱</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ascii="Times New Roman" w:hAnsi="Times New Roman" w:eastAsia="仿宋" w:cs="Times New Roman"/>
          <w:b/>
          <w:bCs/>
          <w:color w:val="auto"/>
          <w:kern w:val="0"/>
          <w:sz w:val="28"/>
          <w:szCs w:val="28"/>
          <w:highlight w:val="none"/>
          <w:lang w:val="en-US" w:eastAsia="zh-CN" w:bidi="ar-SA"/>
        </w:rPr>
      </w:pPr>
      <w:r>
        <w:rPr>
          <w:rFonts w:ascii="Times New Roman" w:hAnsi="Times New Roman" w:eastAsia="仿宋" w:cs="Times New Roman"/>
          <w:b/>
          <w:bCs/>
          <w:color w:val="auto"/>
          <w:kern w:val="0"/>
          <w:sz w:val="28"/>
          <w:szCs w:val="28"/>
          <w:highlight w:val="none"/>
          <w:lang w:val="en-US" w:eastAsia="zh-CN" w:bidi="ar-SA"/>
        </w:rPr>
        <w:t>共计在</w:t>
      </w:r>
      <w:r>
        <w:rPr>
          <w:rFonts w:hint="eastAsia" w:ascii="Times New Roman" w:hAnsi="Times New Roman" w:eastAsia="仿宋" w:cs="Times New Roman"/>
          <w:b/>
          <w:bCs/>
          <w:color w:val="auto"/>
          <w:kern w:val="0"/>
          <w:sz w:val="28"/>
          <w:szCs w:val="28"/>
          <w:highlight w:val="none"/>
          <w:lang w:val="en-US" w:eastAsia="zh-CN" w:bidi="ar-SA"/>
        </w:rPr>
        <w:t>2</w:t>
      </w:r>
      <w:r>
        <w:rPr>
          <w:rFonts w:ascii="Times New Roman" w:hAnsi="Times New Roman" w:eastAsia="仿宋" w:cs="Times New Roman"/>
          <w:b/>
          <w:bCs/>
          <w:color w:val="auto"/>
          <w:kern w:val="0"/>
          <w:sz w:val="28"/>
          <w:szCs w:val="28"/>
          <w:highlight w:val="none"/>
          <w:lang w:val="en-US" w:eastAsia="zh-CN" w:bidi="ar-SA"/>
        </w:rPr>
        <w:t>批次不合格样品中检出，占不合格样品总数的</w:t>
      </w:r>
      <w:r>
        <w:rPr>
          <w:rFonts w:hint="eastAsia" w:ascii="Times New Roman" w:hAnsi="Times New Roman" w:eastAsia="仿宋" w:cs="Times New Roman"/>
          <w:b/>
          <w:bCs/>
          <w:color w:val="auto"/>
          <w:kern w:val="0"/>
          <w:sz w:val="28"/>
          <w:szCs w:val="28"/>
          <w:highlight w:val="none"/>
          <w:lang w:val="en-US" w:eastAsia="zh-CN" w:bidi="ar-SA"/>
        </w:rPr>
        <w:t>3.17%，</w:t>
      </w:r>
      <w:r>
        <w:rPr>
          <w:rFonts w:ascii="Times New Roman" w:hAnsi="Times New Roman" w:eastAsia="仿宋" w:cs="Times New Roman"/>
          <w:b/>
          <w:bCs/>
          <w:color w:val="auto"/>
          <w:kern w:val="0"/>
          <w:sz w:val="28"/>
          <w:szCs w:val="28"/>
          <w:highlight w:val="none"/>
          <w:lang w:val="en-US" w:eastAsia="zh-CN" w:bidi="ar-SA"/>
        </w:rPr>
        <w:t>集中在</w:t>
      </w:r>
      <w:r>
        <w:rPr>
          <w:rFonts w:hint="eastAsia" w:ascii="Times New Roman" w:hAnsi="Times New Roman" w:eastAsia="仿宋" w:cs="Times New Roman"/>
          <w:b/>
          <w:bCs/>
          <w:color w:val="auto"/>
          <w:kern w:val="0"/>
          <w:sz w:val="28"/>
          <w:szCs w:val="28"/>
          <w:highlight w:val="none"/>
          <w:lang w:val="en-US" w:eastAsia="zh-CN" w:bidi="ar-SA"/>
        </w:rPr>
        <w:t>食用农产品</w:t>
      </w:r>
      <w:r>
        <w:rPr>
          <w:rFonts w:ascii="Times New Roman" w:hAnsi="Times New Roman" w:eastAsia="仿宋" w:cs="Times New Roman"/>
          <w:b/>
          <w:bCs/>
          <w:color w:val="auto"/>
          <w:kern w:val="0"/>
          <w:sz w:val="28"/>
          <w:szCs w:val="2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毒死蜱是一种具有触杀、胃毒和熏蒸作用的有机磷杀虫剂。《食品安全国家标准 食品中农药最大残留限量》（GB 2763—2021）中规定，芹菜中毒死蜱残留限量值不得超过0.05mg/kg。毒死蜱属中毒农药，在叶片上残留期一般为5至7天，在土壤中残留期较长，对鱼类及水生生物毒性较高，对蜜蜂有毒。长期暴露在含有毒死蜱的环境中，可能会导致神经毒性、生殖毒性，并会影响胚胎的生长发育。</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2.3.2.4 啶虫脒</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ascii="Times New Roman" w:hAnsi="Times New Roman" w:eastAsia="仿宋" w:cs="Times New Roman"/>
          <w:b/>
          <w:bCs/>
          <w:color w:val="auto"/>
          <w:kern w:val="0"/>
          <w:sz w:val="28"/>
          <w:szCs w:val="28"/>
          <w:highlight w:val="none"/>
          <w:lang w:val="en-US" w:eastAsia="zh-CN" w:bidi="ar-SA"/>
        </w:rPr>
      </w:pPr>
      <w:r>
        <w:rPr>
          <w:rFonts w:ascii="Times New Roman" w:hAnsi="Times New Roman" w:eastAsia="仿宋" w:cs="Times New Roman"/>
          <w:b/>
          <w:bCs/>
          <w:color w:val="auto"/>
          <w:kern w:val="0"/>
          <w:sz w:val="28"/>
          <w:szCs w:val="28"/>
          <w:highlight w:val="none"/>
          <w:lang w:val="en-US" w:eastAsia="zh-CN" w:bidi="ar-SA"/>
        </w:rPr>
        <w:t>共计在</w:t>
      </w:r>
      <w:r>
        <w:rPr>
          <w:rFonts w:hint="eastAsia" w:ascii="Times New Roman" w:hAnsi="Times New Roman" w:eastAsia="仿宋" w:cs="Times New Roman"/>
          <w:b/>
          <w:bCs/>
          <w:color w:val="auto"/>
          <w:kern w:val="0"/>
          <w:sz w:val="28"/>
          <w:szCs w:val="28"/>
          <w:highlight w:val="none"/>
          <w:lang w:val="en-US" w:eastAsia="zh-CN" w:bidi="ar-SA"/>
        </w:rPr>
        <w:t>2</w:t>
      </w:r>
      <w:r>
        <w:rPr>
          <w:rFonts w:ascii="Times New Roman" w:hAnsi="Times New Roman" w:eastAsia="仿宋" w:cs="Times New Roman"/>
          <w:b/>
          <w:bCs/>
          <w:color w:val="auto"/>
          <w:kern w:val="0"/>
          <w:sz w:val="28"/>
          <w:szCs w:val="28"/>
          <w:highlight w:val="none"/>
          <w:lang w:val="en-US" w:eastAsia="zh-CN" w:bidi="ar-SA"/>
        </w:rPr>
        <w:t>批次不合格样品中检出，占不合格样品总数的</w:t>
      </w:r>
      <w:r>
        <w:rPr>
          <w:rFonts w:hint="eastAsia" w:ascii="Times New Roman" w:hAnsi="Times New Roman" w:eastAsia="仿宋" w:cs="Times New Roman"/>
          <w:b/>
          <w:bCs/>
          <w:color w:val="auto"/>
          <w:kern w:val="0"/>
          <w:sz w:val="28"/>
          <w:szCs w:val="28"/>
          <w:highlight w:val="none"/>
          <w:lang w:val="en-US" w:eastAsia="zh-CN" w:bidi="ar-SA"/>
        </w:rPr>
        <w:t>3.17%，</w:t>
      </w:r>
      <w:r>
        <w:rPr>
          <w:rFonts w:ascii="Times New Roman" w:hAnsi="Times New Roman" w:eastAsia="仿宋" w:cs="Times New Roman"/>
          <w:b/>
          <w:bCs/>
          <w:color w:val="auto"/>
          <w:kern w:val="0"/>
          <w:sz w:val="28"/>
          <w:szCs w:val="28"/>
          <w:highlight w:val="none"/>
          <w:lang w:val="en-US" w:eastAsia="zh-CN" w:bidi="ar-SA"/>
        </w:rPr>
        <w:t>集中在</w:t>
      </w:r>
      <w:r>
        <w:rPr>
          <w:rFonts w:hint="eastAsia" w:ascii="Times New Roman" w:hAnsi="Times New Roman" w:eastAsia="仿宋" w:cs="Times New Roman"/>
          <w:b/>
          <w:bCs/>
          <w:color w:val="auto"/>
          <w:kern w:val="0"/>
          <w:sz w:val="28"/>
          <w:szCs w:val="28"/>
          <w:highlight w:val="none"/>
          <w:lang w:val="en-US" w:eastAsia="zh-CN" w:bidi="ar-SA"/>
        </w:rPr>
        <w:t>食用农产品</w:t>
      </w:r>
      <w:r>
        <w:rPr>
          <w:rFonts w:ascii="Times New Roman" w:hAnsi="Times New Roman" w:eastAsia="仿宋" w:cs="Times New Roman"/>
          <w:b/>
          <w:bCs/>
          <w:color w:val="auto"/>
          <w:kern w:val="0"/>
          <w:sz w:val="28"/>
          <w:szCs w:val="2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啶虫脒是一种具有触杀、胃毒和内吸传导作用的新型吡啶类杀虫剂，主要用于防治半翅目（特别是蚜虫）、缨翅目和鳞翅目害虫。少量的残留不会引起人体急性中毒，但长期食用啶虫脒超标的食品，可能对人体健康有一定影响。啶虫脒超标的原因，可能是在种植过程中为快速控制虫害加大用药量或未遵守采摘间隔期规定，致使上市销售时产品中的药物残留量未降解至标准限量以下。</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2.3.2.5 氯氟氰菊酯和高效氯氟氰菊酯</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共计在1批次不合格样品中检出，占不合格样品总数的1.59%，集中在食用农产品。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水果、蔬菜中氯氟氰菊酯和高效氯氟氰菊酯的超标主要是在喷洒使用农药配比含量过高、喷洒后雨水淋洗时间短、降解周期未到及采摘周期短造成农药的残留量过高。氯氟氰菊酯和高效氯氟氰菊酯属拟除虫菊酯类农药。</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2.3.2.6 噻虫嗪</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共计在6批次不合格样品中检出，占不合格样品总数的9.52%，集中在食用农产品。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噻虫嗪是烟碱类杀虫剂，具有胃毒、触杀和内吸作用，对蚜虫等有较好防效。少量的残留不会引起人体急性中毒，但长期食用噻虫嗪超标的食品，对人体健康可能有一定影响。蔬菜、水果中噻虫嗪残留量超标的原因，可能是为快速控制虫害，加大用药量或未遵守采摘间隔期规定，致使上市销售的产品中残留量超标。</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2.3.2.7 腐霉利</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共计在6批次不合格样品中检出，占不合格样品总数的9.52%，集中在食用农产品。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腐霉利是一种低毒内吸性杀菌剂，具有保护和治疗双重作用。主要用于蔬菜灰霉病防治。《食品安全国家标准 食品中农药最大残留限量》（GB 2763-2021）中规定，韭菜中腐霉利残留限量值不得超过0.2 mg/kg。腐霉利对眼睛、皮肤有刺激作用。</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2.3.2.8 吡虫啉</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共计在4批次不合格样品中检出，占不合格样品总数的6.35%，集中在食用农产品。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吡虫啉属氯化烟酰类杀虫剂，具有广谱、高效、低毒等特点。长期食用吡虫啉超标的食品，可能对人体产生危害。吡虫啉超标的原因，可能是为快速控制虫害加大用药量，或未遵守采摘间隔期规定，致使上市销售时产品中的药物残留量未降解至标准限量以下。</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2.3.2.9 噻虫胺</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共计在13批次不合格样品中检出，占不合格样品总数的20.63%，集中在食用农产品。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噻虫胺是一种新烟碱类低毒杀虫剂，具有触杀、胃毒和内吸活性。食品中少量的残留不会引起人体急性中毒，但长期食用噻虫胺超标的食品，对人体健康有一定影响。</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2.3.2.10 亚硝酸盐(以亚硝酸钠计)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共计在9批次不合格样品中检出，占不合格样品总数的14.29%，集中在餐饮食品。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亚硝酸盐(以亚硝酸钠计)主要包括亚硝酸钠和亚硝酸钾，作为护色剂和防腐剂，可使肉制品呈现鲜艳的红色，也能够抑制肉毒梭菌的生长和繁殖。亚硝酸盐(以亚硝酸钠计)虽允许在酱卤肉制品中使用，但在餐饮中是禁止使用的，《卫生部公告2012年第10号》中表示，禁止餐饮服务单位采购、贮存、使用食品添加剂亚硝酸盐（亚硝酸钠、亚硝酸钾）。</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2.3.2.11 苯甲酸及其钠盐(以苯甲酸计)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共计在1批次不合格样品中检出，占不合格样品总数的1.59%，集中在调味品。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苯甲酸及其钠盐(以苯甲酸计)是食品工业中常见的防腐保鲜剂，对霉菌、酵母和细菌有较好的抑制作用。苯甲酸及其钠盐(以苯甲酸计)的安全性较高，少量苯甲酸对人体无毒害，可随尿液排出体外，在人体内不会蓄积。但若长期过量食入苯甲酸超标的食品可能会对肝脏功能产生一定影响。苯甲酸及其钠盐(以苯甲酸计)超标的原因可能是企业为增加产品保质期，或者弥补产品生产过程卫生条件不佳而超限量使用，或者未准确计量。</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2.3.2.12 阴离子合成洗涤剂(以十二烷基苯磺酸钠计)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共计在4批次不合格样品中检出，占不合格样品总数的6.35%，集中在餐饮食品。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阴离子合成洗涤剂(以十二烷基苯磺酸钠计)，即我们日常生活中经常用到的洗衣粉、洗洁精、洗衣液、肥皂等洗涤剂的主要成分，其主要成分十二烷基磺酸钠，是一种低毒物质，在消毒企业中广泛使用。GB 14934-2016《食品安全国家标准消毒餐（饮）具》规定，采用化学消毒法的餐（饮）具的阴离子合成洗涤剂(以十二烷基苯磺酸钠计)应不得检出。餐（饮）具中检出阴离子合成洗涤剂(以十二烷基苯磺酸钠计)，可能是部分单位使用的洗涤剂不合格或使用量过大，未经足够量清水冲洗或餐具漂洗池内清洗用水重复使用或餐具数量多，造成交叉污染，进而残存在餐（饮）具中。</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2.3.2.13 菌落总数</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共计在1批次不合格样品中检出，占不合格样品总数的1.59%，集中在饮料。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菌落总数是指示性微生物指标，不是致病菌指标，反映食品在生产过程中的卫生状况。如果食品的菌落总数严重超标，将会破坏食品的营养成分，使食品失去食用价值；还会加速食品腐败变质，可能危害人体健康。</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2.3.2.14 大肠菌群</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共计在6批次不合格样品中检出，占不合格样品总数的9.52%，集中在餐饮食品。</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560" w:firstLineChars="200"/>
        <w:textAlignment w:val="auto"/>
        <w:rPr>
          <w:rFonts w:hint="eastAsia" w:ascii="Times New Roman" w:hAnsi="Times New Roman" w:eastAsia="仿宋" w:cs="Times New Roman"/>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大肠菌群是国内外通用的食品污染常用指示菌。食品及食品相关产品中检出大肠菌群，存在被致病菌（如沙门氏菌、志贺氏菌、致病性大肠杆菌）污染的风险。餐（饮）具中检出大肠菌群的原因，可能是产品消毒方式不符合要求，清洗消毒不彻底未达到消毒灭菌效果，也有可能是产品经消毒后存放条件不当或操作不规范而被二次污染造成的。</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2.3.2.15 4-氯苯氧乙酸钠(以4-氯苯氧乙酸计)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共计在1批次不合格样品中检出，占不合格样品总数的1.59%，集中在食用农产品。</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4-氯苯氧乙酸钠(以4-氯苯氧乙酸计)，是一种植物生长调节剂。主要用于防止落花落果、抑制豆类生根等，并能调节植物株内激素的平衡。但由于其对人体有一定积累毒性，豆芽中检出4-氯苯氧乙酸钠(以4-氯苯氧乙酸计)可能是由于豆芽生产商在生产过程中为了抑制豆芽生根，提高豆芽产量而违规使用。</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2.3.2.16 6-苄基腺嘌呤(6-BA)</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共计在4批次不合格样品中检出，占不合格样品总数的6.35%，集中在食用农产品。</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Times New Roman" w:hAnsi="Times New Roman" w:eastAsia="仿宋" w:cs="Times New Roman"/>
          <w:color w:val="auto"/>
          <w:kern w:val="0"/>
          <w:sz w:val="28"/>
          <w:szCs w:val="28"/>
          <w:highlight w:val="none"/>
          <w:lang w:val="en-US" w:eastAsia="zh-CN" w:bidi="ar-SA"/>
        </w:rPr>
        <w:t xml:space="preserve"> </w:t>
      </w:r>
      <w:r>
        <w:rPr>
          <w:rFonts w:hint="eastAsia" w:ascii="仿宋" w:hAnsi="仿宋" w:eastAsia="仿宋" w:cs="仿宋"/>
          <w:color w:val="auto"/>
          <w:kern w:val="0"/>
          <w:sz w:val="28"/>
          <w:szCs w:val="28"/>
          <w:highlight w:val="none"/>
          <w:lang w:val="en-US" w:eastAsia="zh-CN" w:bidi="ar-SA"/>
        </w:rPr>
        <w:t>6-苄基腺嘌呤（6-BA）是一种植物生长调节剂，曾在豆芽生产中被广泛使用。《国家食品药品监督管理总局农业部 国家卫生和计划生育委员会关于豆芽生产过程中禁止使用6-苄基腺嘌呤等物质的公告》（2015年第11号）中规定，生产者不得在豆芽生产过程中使用6-苄基腺嘌呤、4-氯苯氧乙酸钠、赤霉素等物质，豆芽经营者不得经营含有6-苄基腺嘌呤、4-氯苯氧乙酸钠、赤霉素等物质的豆芽。豆芽中检出6-苄基腺嘌呤（6-BA）的原因，可能是生产者为了抑制豆芽生根，提高豆芽产量，从而违规使用相关农药。</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2.3.2.17 恩诺沙星</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共计在1批次不合格样品中检出，占不合格样品总数的1.59%，集中在食用农产品。</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恩诺沙星属于氟喹诺酮类药物，是一类人工合成的广谱抗菌药，用以治疗动物的皮肤感染、呼吸道感染等。恩诺沙星超标的主要原因可能是畜禽养殖过程中为控制疾病超量使用或不遵循休药期规定。长期食用恩诺沙星超标的养殖类动物，人的身体中也会残留这种物质，会让人对此类氟喹诺酮类抗生素产生一定的耐药性。</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2.3.2.18 罂粟碱</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共计在1批次不合格样品中检出，占不合格样品总数的1.59%，集中在餐饮食品。</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560" w:firstLineChars="200"/>
        <w:textAlignment w:val="auto"/>
        <w:rPr>
          <w:rFonts w:hint="eastAsia" w:cs="仿宋"/>
          <w:b/>
          <w:bCs/>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罂粟碱是临床用于治疗心血管痉挛等的处方药。罂粟碱、吗啡、可待因、那可丁、蒂巴因等非法添加物，我国现行的食品安全法中明确规定了，“不得在食品生产中使用食品添加剂以外的化学物质和其他可能危害人体健康的物质”，且对于食品生产者也有较为严格的要求。</w:t>
      </w:r>
      <w:r>
        <w:rPr>
          <w:rFonts w:hint="eastAsia" w:cs="仿宋"/>
          <w:b/>
          <w:bCs/>
          <w:color w:val="auto"/>
          <w:kern w:val="0"/>
          <w:sz w:val="28"/>
          <w:szCs w:val="28"/>
          <w:highlight w:val="none"/>
          <w:lang w:val="en-US" w:eastAsia="zh-CN" w:bidi="ar-SA"/>
        </w:rPr>
        <w:t>2.3.2.19 吗啡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共计在1批次不合格样品中检出，占不合格样品总数的1.59%，集中在餐饮食品。</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吗啡，是鸦片类毒品的主要组成部分，长期食用者从心理上到生理上都会对其产生依赖性。罂粟碱、吗啡、可待因、那可丁、蒂巴因等非法添加物，我国现行的食品安全法中明确规定了，“不得在食品生产中使用食品添加剂以外的化学物质和其他可能危害人体健康的物质”，且对于食品生产者也有较为严格的要求。</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cs="仿宋"/>
          <w:b/>
          <w:bCs/>
          <w:color w:val="auto"/>
          <w:kern w:val="0"/>
          <w:sz w:val="28"/>
          <w:szCs w:val="28"/>
          <w:highlight w:val="none"/>
          <w:lang w:val="en-US" w:eastAsia="zh-CN" w:bidi="ar-SA"/>
        </w:rPr>
      </w:pPr>
      <w:r>
        <w:rPr>
          <w:rFonts w:hint="eastAsia" w:cs="仿宋"/>
          <w:b/>
          <w:bCs/>
          <w:color w:val="auto"/>
          <w:kern w:val="0"/>
          <w:sz w:val="28"/>
          <w:szCs w:val="28"/>
          <w:highlight w:val="none"/>
          <w:lang w:val="en-US" w:eastAsia="zh-CN" w:bidi="ar-SA"/>
        </w:rPr>
        <w:t>2.3.2.20 那可丁</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imes New Roman" w:hAnsi="Times New Roman" w:eastAsia="仿宋" w:cs="Times New Roman"/>
          <w:b/>
          <w:bCs/>
          <w:color w:val="auto"/>
          <w:kern w:val="0"/>
          <w:sz w:val="28"/>
          <w:szCs w:val="28"/>
          <w:highlight w:val="none"/>
          <w:lang w:val="en-US" w:eastAsia="zh-CN" w:bidi="ar-SA"/>
        </w:rPr>
      </w:pPr>
      <w:r>
        <w:rPr>
          <w:rFonts w:hint="eastAsia" w:ascii="Times New Roman" w:hAnsi="Times New Roman" w:eastAsia="仿宋" w:cs="Times New Roman"/>
          <w:b/>
          <w:bCs/>
          <w:color w:val="auto"/>
          <w:kern w:val="0"/>
          <w:sz w:val="28"/>
          <w:szCs w:val="28"/>
          <w:highlight w:val="none"/>
          <w:lang w:val="en-US" w:eastAsia="zh-CN" w:bidi="ar-SA"/>
        </w:rPr>
        <w:t>共计在1批次不合格样品中检出，占不合格样品总数的1.59%，集中在餐饮食品。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罂粟壳中含有吗啡、可待因、罂粟碱、蒂巴因、那可丁等生物碱类物质。这些生物碱均可由罂粟属植物鸦片中提取得到。长期食用含有罂粟壳或添加这些生物碱的食物，会出现发冷、出虚汗、乏力、面黄肌瘦等症状；严重时，可能对神经系统、消化系统造成损害，甚至会出现内分泌失调等症状，最终上瘾，具有潜在的吸食毒品的倾向。食品整治办[2008]3号《食品中可能违法添加的非食用物质和易滥用的食品添加剂品种名单(第一批)》中罂粟壳为非食用物质，其含有的生物碱类物质吗啡、可待因、罂粟碱、蒂巴因、那可丁都不可在食品中有检出。餐饮环节酱卤肉制品(自制)中含有那可丁可能是餐饮企业非法在酱卤肉制品(自制)中添加罂粟壳或添加那可丁原药。</w:t>
      </w:r>
    </w:p>
    <w:p>
      <w:pPr>
        <w:pStyle w:val="2"/>
        <w:ind w:left="0" w:leftChars="0" w:firstLine="0" w:firstLineChars="0"/>
        <w:rPr>
          <w:rFonts w:hint="eastAsia" w:ascii="Times New Roman" w:hAnsi="Times New Roman" w:eastAsia="仿宋" w:cs="Times New Roman"/>
          <w:color w:val="auto"/>
          <w:kern w:val="0"/>
          <w:sz w:val="28"/>
          <w:szCs w:val="28"/>
          <w:highlight w:val="none"/>
          <w:lang w:val="en-US" w:eastAsia="zh-CN" w:bidi="ar-SA"/>
        </w:rPr>
      </w:pPr>
    </w:p>
    <w:p>
      <w:pPr>
        <w:pStyle w:val="4"/>
        <w:pageBreakBefore/>
        <w:tabs>
          <w:tab w:val="left" w:pos="1875"/>
          <w:tab w:val="center" w:pos="4153"/>
          <w:tab w:val="left" w:pos="6525"/>
        </w:tabs>
        <w:spacing w:before="156" w:beforeLines="50" w:after="156" w:afterLines="50" w:line="600" w:lineRule="auto"/>
        <w:rPr>
          <w:rFonts w:hint="eastAsia" w:ascii="仿宋" w:hAnsi="仿宋" w:eastAsia="仿宋" w:cs="仿宋"/>
          <w:color w:val="auto"/>
          <w:sz w:val="28"/>
          <w:szCs w:val="28"/>
          <w:highlight w:val="none"/>
        </w:rPr>
      </w:pPr>
      <w:bookmarkStart w:id="15" w:name="_Toc3599"/>
      <w:bookmarkStart w:id="16" w:name="_Toc3611"/>
      <w:r>
        <w:rPr>
          <w:rFonts w:hint="eastAsia" w:ascii="仿宋" w:hAnsi="仿宋" w:eastAsia="仿宋" w:cs="仿宋"/>
          <w:color w:val="auto"/>
          <w:sz w:val="28"/>
          <w:szCs w:val="28"/>
          <w:highlight w:val="none"/>
        </w:rPr>
        <w:t>第三部分  市场监管建议</w:t>
      </w:r>
      <w:bookmarkEnd w:id="15"/>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为进一步加强</w:t>
      </w:r>
      <w:r>
        <w:rPr>
          <w:rFonts w:hint="eastAsia" w:cs="仿宋"/>
          <w:color w:val="auto"/>
          <w:sz w:val="28"/>
          <w:szCs w:val="28"/>
          <w:highlight w:val="none"/>
          <w:lang w:eastAsia="zh-CN"/>
        </w:rPr>
        <w:t>伊川县</w:t>
      </w:r>
      <w:r>
        <w:rPr>
          <w:rFonts w:hint="eastAsia" w:ascii="仿宋" w:hAnsi="仿宋" w:eastAsia="仿宋" w:cs="仿宋"/>
          <w:color w:val="auto"/>
          <w:sz w:val="28"/>
          <w:szCs w:val="28"/>
          <w:highlight w:val="none"/>
        </w:rPr>
        <w:t>的食品安全监督抽检工作，更好地督促企业依法履行好主体责任，发挥抽检监测的作用，切实突出“五个强化”，现提出如下建议：</w:t>
      </w:r>
    </w:p>
    <w:p>
      <w:pPr>
        <w:pStyle w:val="5"/>
        <w:rPr>
          <w:rFonts w:hint="eastAsia" w:ascii="仿宋" w:hAnsi="仿宋" w:eastAsia="仿宋" w:cs="仿宋"/>
          <w:color w:val="auto"/>
          <w:sz w:val="28"/>
          <w:szCs w:val="28"/>
          <w:highlight w:val="none"/>
        </w:rPr>
      </w:pPr>
      <w:bookmarkStart w:id="17" w:name="_Toc21472"/>
      <w:r>
        <w:rPr>
          <w:rFonts w:hint="eastAsia" w:ascii="仿宋" w:hAnsi="仿宋" w:cs="仿宋"/>
          <w:color w:val="auto"/>
          <w:sz w:val="28"/>
          <w:szCs w:val="28"/>
          <w:highlight w:val="none"/>
          <w:lang w:val="en-US" w:eastAsia="zh-CN"/>
        </w:rPr>
        <w:t xml:space="preserve">3.1 </w:t>
      </w:r>
      <w:r>
        <w:rPr>
          <w:rFonts w:hint="eastAsia" w:ascii="仿宋" w:hAnsi="仿宋" w:eastAsia="仿宋" w:cs="仿宋"/>
          <w:color w:val="auto"/>
          <w:sz w:val="28"/>
          <w:szCs w:val="28"/>
          <w:highlight w:val="none"/>
        </w:rPr>
        <w:t>样品检验项目的建议</w:t>
      </w:r>
      <w:bookmarkEnd w:id="17"/>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对于抽样检测项目，可围绕是否符合食品安全标准进行选取。抽样检验项目不建议完全选择质量指标项目，还应当选取与食品安全相关、强制性的卫生指标项目和相关行业标准项目。同时，建议适当增加风险性监测项目，个别项目可不做判定，了解该类产品的安全状况。</w:t>
      </w:r>
    </w:p>
    <w:p>
      <w:pPr>
        <w:pStyle w:val="5"/>
        <w:spacing w:line="360" w:lineRule="auto"/>
        <w:rPr>
          <w:rFonts w:hint="eastAsia" w:ascii="仿宋" w:hAnsi="仿宋" w:eastAsia="仿宋" w:cs="仿宋"/>
          <w:color w:val="auto"/>
          <w:sz w:val="28"/>
          <w:szCs w:val="28"/>
          <w:highlight w:val="none"/>
        </w:rPr>
      </w:pPr>
      <w:bookmarkStart w:id="18" w:name="_Toc9367"/>
      <w:r>
        <w:rPr>
          <w:rFonts w:hint="eastAsia" w:ascii="仿宋" w:hAnsi="仿宋" w:cs="仿宋"/>
          <w:color w:val="auto"/>
          <w:sz w:val="28"/>
          <w:szCs w:val="28"/>
          <w:highlight w:val="none"/>
          <w:lang w:val="en-US" w:eastAsia="zh-CN"/>
        </w:rPr>
        <w:t xml:space="preserve">3.2 </w:t>
      </w:r>
      <w:r>
        <w:rPr>
          <w:rFonts w:hint="eastAsia" w:ascii="仿宋" w:hAnsi="仿宋" w:eastAsia="仿宋" w:cs="仿宋"/>
          <w:color w:val="auto"/>
          <w:sz w:val="28"/>
          <w:szCs w:val="28"/>
          <w:highlight w:val="none"/>
        </w:rPr>
        <w:t>抽样区域选择的建议</w:t>
      </w:r>
      <w:bookmarkEnd w:id="18"/>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考虑到被抽样单位的影响范围和市场监管的需要，选择抽样地点时应该遵循随机选择、重点排查的原则。对于一些规模较大、影响人群较广的大型被抽样单位，应适当增加在其单位内的抽样数量</w:t>
      </w:r>
      <w:r>
        <w:rPr>
          <w:rFonts w:hint="eastAsia" w:ascii="仿宋" w:hAnsi="仿宋" w:eastAsia="仿宋" w:cs="仿宋"/>
          <w:color w:val="auto"/>
          <w:sz w:val="28"/>
          <w:szCs w:val="28"/>
          <w:highlight w:val="none"/>
          <w:lang w:val="en-US" w:eastAsia="zh-CN"/>
        </w:rPr>
        <w:t>和样品种类；</w:t>
      </w:r>
      <w:r>
        <w:rPr>
          <w:rFonts w:hint="eastAsia" w:ascii="仿宋" w:hAnsi="仿宋" w:eastAsia="仿宋" w:cs="仿宋"/>
          <w:color w:val="auto"/>
          <w:sz w:val="28"/>
          <w:szCs w:val="28"/>
          <w:highlight w:val="none"/>
        </w:rPr>
        <w:t>对于一些经营规模较小的被抽样单位而言，在随机选择的基础上，尽可能覆盖其经营范围内的高危样品种类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同时考虑到小型经营单位的单一种类存货量太少的特点，对于一些检测需要样品量较大的项目可以考虑采取风险</w:t>
      </w:r>
      <w:r>
        <w:rPr>
          <w:rFonts w:hint="eastAsia" w:ascii="仿宋" w:hAnsi="仿宋" w:eastAsia="仿宋" w:cs="仿宋"/>
          <w:color w:val="auto"/>
          <w:sz w:val="28"/>
          <w:szCs w:val="28"/>
          <w:highlight w:val="none"/>
          <w:lang w:eastAsia="zh-CN"/>
        </w:rPr>
        <w:t>监</w:t>
      </w:r>
      <w:r>
        <w:rPr>
          <w:rFonts w:hint="eastAsia" w:ascii="仿宋" w:hAnsi="仿宋" w:eastAsia="仿宋" w:cs="仿宋"/>
          <w:color w:val="auto"/>
          <w:sz w:val="28"/>
          <w:szCs w:val="28"/>
          <w:highlight w:val="none"/>
        </w:rPr>
        <w:t>测抽检的方式进行监管。</w:t>
      </w:r>
    </w:p>
    <w:p>
      <w:pPr>
        <w:pStyle w:val="5"/>
        <w:bidi w:val="0"/>
        <w:rPr>
          <w:rFonts w:hint="eastAsia" w:ascii="仿宋" w:hAnsi="仿宋" w:eastAsia="仿宋" w:cs="仿宋"/>
          <w:color w:val="auto"/>
          <w:sz w:val="28"/>
          <w:szCs w:val="28"/>
          <w:highlight w:val="none"/>
        </w:rPr>
      </w:pPr>
      <w:bookmarkStart w:id="19" w:name="_Toc2274"/>
      <w:r>
        <w:rPr>
          <w:rFonts w:hint="eastAsia" w:ascii="仿宋" w:hAnsi="仿宋" w:cs="仿宋"/>
          <w:color w:val="auto"/>
          <w:sz w:val="28"/>
          <w:szCs w:val="28"/>
          <w:highlight w:val="none"/>
          <w:lang w:val="en-US" w:eastAsia="zh-CN"/>
        </w:rPr>
        <w:t xml:space="preserve">3.3 </w:t>
      </w:r>
      <w:r>
        <w:rPr>
          <w:rFonts w:hint="eastAsia" w:ascii="仿宋" w:hAnsi="仿宋" w:eastAsia="仿宋" w:cs="仿宋"/>
          <w:color w:val="auto"/>
          <w:sz w:val="28"/>
          <w:szCs w:val="28"/>
          <w:highlight w:val="none"/>
        </w:rPr>
        <w:t>风险监控建议</w:t>
      </w:r>
      <w:bookmarkEnd w:id="19"/>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1）加强对不合格样品的研究。对于本次监督抽检发现的</w:t>
      </w:r>
      <w:r>
        <w:rPr>
          <w:rFonts w:hint="eastAsia" w:cs="仿宋"/>
          <w:color w:val="auto"/>
          <w:sz w:val="28"/>
          <w:szCs w:val="28"/>
          <w:highlight w:val="none"/>
          <w:lang w:val="en-US" w:eastAsia="zh-CN"/>
        </w:rPr>
        <w:t>63</w:t>
      </w:r>
      <w:r>
        <w:rPr>
          <w:rFonts w:hint="eastAsia" w:ascii="仿宋" w:hAnsi="仿宋" w:eastAsia="仿宋" w:cs="仿宋"/>
          <w:color w:val="auto"/>
          <w:sz w:val="28"/>
          <w:szCs w:val="28"/>
          <w:highlight w:val="none"/>
        </w:rPr>
        <w:t>批次不合格样品，</w:t>
      </w:r>
      <w:r>
        <w:rPr>
          <w:rFonts w:hint="eastAsia" w:cs="仿宋"/>
          <w:color w:val="auto"/>
          <w:sz w:val="28"/>
          <w:szCs w:val="28"/>
          <w:highlight w:val="none"/>
          <w:lang w:val="en-US" w:eastAsia="zh-CN"/>
        </w:rPr>
        <w:t>20</w:t>
      </w:r>
      <w:r>
        <w:rPr>
          <w:rFonts w:hint="eastAsia" w:ascii="仿宋" w:hAnsi="仿宋" w:eastAsia="仿宋" w:cs="仿宋"/>
          <w:color w:val="auto"/>
          <w:sz w:val="28"/>
          <w:szCs w:val="28"/>
          <w:highlight w:val="none"/>
        </w:rPr>
        <w:t>个不合格项目，可有针对性地开展食品安全快检，提高快检筛查能力。加大对超市、</w:t>
      </w:r>
      <w:r>
        <w:rPr>
          <w:rFonts w:hint="eastAsia" w:cs="仿宋"/>
          <w:color w:val="auto"/>
          <w:sz w:val="28"/>
          <w:szCs w:val="28"/>
          <w:highlight w:val="none"/>
          <w:lang w:eastAsia="zh-CN"/>
        </w:rPr>
        <w:t>小吃店、餐馆</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学校/托幼食堂</w:t>
      </w:r>
      <w:r>
        <w:rPr>
          <w:rFonts w:hint="eastAsia" w:ascii="仿宋" w:hAnsi="仿宋" w:eastAsia="仿宋" w:cs="仿宋"/>
          <w:color w:val="auto"/>
          <w:sz w:val="28"/>
          <w:szCs w:val="28"/>
          <w:highlight w:val="none"/>
        </w:rPr>
        <w:t>等业态的抽检量；开展风险项目的专项抽检。</w:t>
      </w:r>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2）加强宣传。进一步做好对食品生产者、销售者及消费者关于食品安全相关法律法规、安全卫生标准和政策等方面的宣传教育。加强对农药</w:t>
      </w:r>
      <w:r>
        <w:rPr>
          <w:rFonts w:hint="eastAsia" w:cs="仿宋"/>
          <w:color w:val="auto"/>
          <w:sz w:val="28"/>
          <w:szCs w:val="28"/>
          <w:highlight w:val="none"/>
          <w:lang w:eastAsia="zh-CN"/>
        </w:rPr>
        <w:t>、禁用物质、</w:t>
      </w:r>
      <w:r>
        <w:rPr>
          <w:rFonts w:hint="eastAsia" w:ascii="仿宋" w:hAnsi="仿宋" w:eastAsia="仿宋" w:cs="仿宋"/>
          <w:color w:val="auto"/>
          <w:sz w:val="28"/>
          <w:szCs w:val="28"/>
          <w:highlight w:val="none"/>
          <w:lang w:eastAsia="zh-CN"/>
        </w:rPr>
        <w:t>食品添加剂</w:t>
      </w:r>
      <w:r>
        <w:rPr>
          <w:rFonts w:hint="eastAsia" w:ascii="仿宋" w:hAnsi="仿宋" w:eastAsia="仿宋" w:cs="仿宋"/>
          <w:color w:val="auto"/>
          <w:sz w:val="28"/>
          <w:szCs w:val="28"/>
          <w:highlight w:val="none"/>
          <w:lang w:val="en-US" w:eastAsia="zh-CN"/>
        </w:rPr>
        <w:t>使用</w:t>
      </w:r>
      <w:r>
        <w:rPr>
          <w:rFonts w:hint="eastAsia" w:ascii="仿宋" w:hAnsi="仿宋" w:eastAsia="仿宋" w:cs="仿宋"/>
          <w:color w:val="auto"/>
          <w:sz w:val="28"/>
          <w:szCs w:val="28"/>
          <w:highlight w:val="none"/>
        </w:rPr>
        <w:t>知识培训，使食</w:t>
      </w:r>
      <w:r>
        <w:rPr>
          <w:rFonts w:hint="eastAsia" w:ascii="仿宋" w:hAnsi="仿宋" w:eastAsia="仿宋" w:cs="仿宋"/>
          <w:color w:val="auto"/>
          <w:sz w:val="28"/>
          <w:szCs w:val="28"/>
          <w:highlight w:val="none"/>
          <w:lang w:val="en-US" w:eastAsia="zh-CN"/>
        </w:rPr>
        <w:t>品生产</w:t>
      </w:r>
      <w:r>
        <w:rPr>
          <w:rFonts w:hint="eastAsia" w:ascii="仿宋" w:hAnsi="仿宋" w:eastAsia="仿宋" w:cs="仿宋"/>
          <w:color w:val="auto"/>
          <w:sz w:val="28"/>
          <w:szCs w:val="28"/>
          <w:highlight w:val="none"/>
        </w:rPr>
        <w:t>经营者明确相关食品的禁用农药种类及农药</w:t>
      </w:r>
      <w:r>
        <w:rPr>
          <w:rFonts w:hint="eastAsia" w:ascii="仿宋" w:hAnsi="仿宋" w:eastAsia="仿宋" w:cs="仿宋"/>
          <w:color w:val="auto"/>
          <w:sz w:val="28"/>
          <w:szCs w:val="28"/>
          <w:highlight w:val="none"/>
          <w:lang w:eastAsia="zh-CN"/>
        </w:rPr>
        <w:t>、食品添加剂</w:t>
      </w:r>
      <w:r>
        <w:rPr>
          <w:rFonts w:hint="eastAsia" w:ascii="仿宋" w:hAnsi="仿宋" w:eastAsia="仿宋" w:cs="仿宋"/>
          <w:color w:val="auto"/>
          <w:sz w:val="28"/>
          <w:szCs w:val="28"/>
          <w:highlight w:val="none"/>
        </w:rPr>
        <w:t>的相关限量要求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定期或不定期发布食品风险监测的警示信息，提高生产者、销售者的食品安全责任意识，提醒消费者正确选择安全食品</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鼓励商户通过快检发现问题，加大对进货查验义务的宣传，要求商户从正规渠道进货。</w:t>
      </w:r>
    </w:p>
    <w:p>
      <w:pPr>
        <w:pStyle w:val="2"/>
        <w:spacing w:after="0" w:line="360" w:lineRule="auto"/>
        <w:ind w:firstLine="560" w:firstLineChars="200"/>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3）按照区域人口比例，合理安排抽检比例。对于超市、菜市场等重点场所，应增加抽样类别，覆盖其经营范围内的食品种类；适当增加抽样数量，如增加对肉制品、糕点、薯类和膨化食品</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水果制品、饮料</w:t>
      </w:r>
      <w:r>
        <w:rPr>
          <w:rFonts w:hint="eastAsia" w:ascii="仿宋" w:hAnsi="仿宋" w:eastAsia="仿宋" w:cs="仿宋"/>
          <w:color w:val="auto"/>
          <w:sz w:val="28"/>
          <w:szCs w:val="28"/>
          <w:highlight w:val="none"/>
        </w:rPr>
        <w:t>等的抽样数量，提高问题发现率；合理设计监管项目，如关注肉制品中亚硝酸盐、胭脂红，糕点</w:t>
      </w:r>
      <w:r>
        <w:rPr>
          <w:rFonts w:hint="eastAsia" w:ascii="仿宋" w:hAnsi="仿宋" w:eastAsia="仿宋" w:cs="仿宋"/>
          <w:color w:val="auto"/>
          <w:sz w:val="28"/>
          <w:szCs w:val="28"/>
          <w:highlight w:val="none"/>
          <w:lang w:val="en-US" w:eastAsia="zh-CN"/>
        </w:rPr>
        <w:t>和</w:t>
      </w:r>
      <w:r>
        <w:rPr>
          <w:rFonts w:hint="eastAsia" w:ascii="仿宋" w:hAnsi="仿宋" w:eastAsia="仿宋" w:cs="仿宋"/>
          <w:color w:val="auto"/>
          <w:sz w:val="28"/>
          <w:szCs w:val="28"/>
          <w:highlight w:val="none"/>
        </w:rPr>
        <w:t>薯类和膨化食品中的菌落总数</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食品添加剂</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水果制品和饮料中的色素、防腐剂、霉菌</w:t>
      </w:r>
      <w:r>
        <w:rPr>
          <w:rFonts w:hint="eastAsia" w:ascii="仿宋" w:hAnsi="仿宋" w:eastAsia="仿宋" w:cs="仿宋"/>
          <w:color w:val="auto"/>
          <w:sz w:val="28"/>
          <w:szCs w:val="28"/>
          <w:highlight w:val="none"/>
        </w:rPr>
        <w:t>等风险项目。</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outlineLvl w:val="9"/>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4）加强培训。针对本年度抽检不合格样品的不合格原因、危害及控制措施等进行专业的培训，让执法人员更加了解食品安全风险</w:t>
      </w:r>
      <w:r>
        <w:rPr>
          <w:rFonts w:hint="eastAsia" w:ascii="仿宋" w:hAnsi="仿宋" w:eastAsia="仿宋" w:cs="仿宋"/>
          <w:color w:val="auto"/>
          <w:sz w:val="28"/>
          <w:szCs w:val="28"/>
          <w:highlight w:val="none"/>
          <w:lang w:eastAsia="zh-CN"/>
        </w:rPr>
        <w:t>。</w:t>
      </w:r>
    </w:p>
    <w:p>
      <w:pPr>
        <w:pStyle w:val="5"/>
        <w:spacing w:line="360" w:lineRule="auto"/>
        <w:rPr>
          <w:rFonts w:hint="eastAsia" w:ascii="仿宋" w:hAnsi="仿宋" w:eastAsia="仿宋" w:cs="仿宋"/>
          <w:color w:val="auto"/>
          <w:sz w:val="28"/>
          <w:szCs w:val="28"/>
          <w:highlight w:val="none"/>
          <w:lang w:val="en-US" w:eastAsia="zh-CN"/>
        </w:rPr>
      </w:pPr>
      <w:bookmarkStart w:id="20" w:name="_Toc25053"/>
      <w:r>
        <w:rPr>
          <w:rFonts w:hint="eastAsia" w:ascii="仿宋" w:hAnsi="仿宋" w:cs="仿宋"/>
          <w:color w:val="auto"/>
          <w:sz w:val="28"/>
          <w:szCs w:val="28"/>
          <w:highlight w:val="none"/>
          <w:lang w:val="en-US" w:eastAsia="zh-CN"/>
        </w:rPr>
        <w:t xml:space="preserve">3.4 </w:t>
      </w:r>
      <w:r>
        <w:rPr>
          <w:rFonts w:hint="eastAsia" w:ascii="仿宋" w:hAnsi="仿宋" w:eastAsia="仿宋" w:cs="仿宋"/>
          <w:color w:val="auto"/>
          <w:sz w:val="28"/>
          <w:szCs w:val="28"/>
          <w:highlight w:val="none"/>
          <w:lang w:val="en-US" w:eastAsia="zh-CN"/>
        </w:rPr>
        <w:t>突出五个强化</w:t>
      </w:r>
      <w:bookmarkEnd w:id="20"/>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1）强化学习培训，提高抽检监测人员能力和水平。组织食品</w:t>
      </w:r>
      <w:r>
        <w:rPr>
          <w:rFonts w:hint="eastAsia" w:ascii="仿宋" w:hAnsi="仿宋" w:eastAsia="仿宋" w:cs="仿宋"/>
          <w:color w:val="auto"/>
          <w:sz w:val="28"/>
          <w:szCs w:val="28"/>
          <w:highlight w:val="none"/>
          <w:lang w:val="en-US" w:eastAsia="zh-CN"/>
        </w:rPr>
        <w:t>安全</w:t>
      </w:r>
      <w:r>
        <w:rPr>
          <w:rFonts w:hint="eastAsia" w:ascii="仿宋" w:hAnsi="仿宋" w:eastAsia="仿宋" w:cs="仿宋"/>
          <w:color w:val="auto"/>
          <w:sz w:val="28"/>
          <w:szCs w:val="28"/>
          <w:highlight w:val="none"/>
        </w:rPr>
        <w:t>抽检业务知识、法律法规培训，不断提高抽检监测人员在食品抽检过程中发现问题和处置问题的能力，全面夯实食品抽检工作基础。</w:t>
      </w:r>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强化时效意识，确保抽检监测工作合法合规。加强对承检机构的督导培训，不断提高承检机构检验报告送达的时效意识，对于不合格报告，要在第一时间将有关报告、材料送达监管部门和相关企业，及时履行告知企业的权力和义务，不得出现送达告知拖拉和延误的问题，以免影响后续处理。</w:t>
      </w:r>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3）强化联合执法工作，有效确保食品安全。加大食品抽样的频率，对食品安全意识薄弱的地区重点监管，督促当地食品主管部门力度加强，震慑食品安全违法行为。</w:t>
      </w:r>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4）强化食品安全抽检监测信息公开，及时公布抽检监测检验结果和处置结果，提高企业的守法意识。进一步规范食品安全监督抽检结果信息的发布，要让消费者可以更及时</w:t>
      </w:r>
      <w:r>
        <w:rPr>
          <w:rFonts w:hint="eastAsia" w:ascii="仿宋" w:hAnsi="仿宋" w:eastAsia="仿宋" w:cs="仿宋"/>
          <w:color w:val="auto"/>
          <w:sz w:val="28"/>
          <w:szCs w:val="28"/>
          <w:highlight w:val="none"/>
          <w:lang w:val="en-US" w:eastAsia="zh-CN"/>
        </w:rPr>
        <w:t>地</w:t>
      </w:r>
      <w:r>
        <w:rPr>
          <w:rFonts w:hint="eastAsia" w:ascii="仿宋" w:hAnsi="仿宋" w:eastAsia="仿宋" w:cs="仿宋"/>
          <w:color w:val="auto"/>
          <w:sz w:val="28"/>
          <w:szCs w:val="28"/>
          <w:highlight w:val="none"/>
        </w:rPr>
        <w:t>获取、了解各项食品安全信息，同时也倒逼食品生产经营者依法、依规生产经营。</w:t>
      </w:r>
    </w:p>
    <w:p>
      <w:pPr>
        <w:widowControl/>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强化食品安全监管的长效机制建设，确保食品安全。监管部门要增加巡查监管频次，强化食品生产经营者主体责任意识，切实提升企业依法生产经营的守法意识，切实监督抽查食品安全问题，全面提高产品质量水平。以问题为导向，围绕群众关心的热点难点问题，以制度落地、日常监管、专项整治、社会共治为抓手，加大重点品种、重点区域食品安全监督抽检力度，深入开展食品安全专项整治，切实保障人民群众饮食安全。</w:t>
      </w:r>
      <w:bookmarkEnd w:id="16"/>
    </w:p>
    <w:bookmarkEnd w:id="21"/>
    <w:p>
      <w:pPr>
        <w:pStyle w:val="16"/>
        <w:spacing w:before="0" w:beforeAutospacing="0" w:after="0" w:afterAutospacing="0" w:line="360" w:lineRule="auto"/>
        <w:ind w:firstLine="560" w:firstLineChars="200"/>
        <w:jc w:val="right"/>
        <w:rPr>
          <w:rFonts w:ascii="Times New Roman" w:hAnsi="Times New Roman" w:eastAsia="仿宋" w:cs="Times New Roman"/>
          <w:color w:val="auto"/>
          <w:sz w:val="28"/>
          <w:szCs w:val="28"/>
          <w:highlight w:val="none"/>
        </w:rPr>
      </w:pPr>
    </w:p>
    <w:sectPr>
      <w:footerReference r:id="rId7" w:type="default"/>
      <w:pgSz w:w="11906" w:h="16838"/>
      <w:pgMar w:top="1440" w:right="1800" w:bottom="1440" w:left="138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E-BZ">
    <w:altName w:val="Times New Roman"/>
    <w:panose1 w:val="00000000000000000000"/>
    <w:charset w:val="00"/>
    <w:family w:val="roman"/>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jc w:val="center"/>
                            <w:rPr>
                              <w:rFonts w:ascii="Times New Roman" w:hAnsi="Times New Roman" w:cs="Times New Roman"/>
                              <w:sz w:val="21"/>
                              <w:szCs w:val="21"/>
                            </w:rPr>
                          </w:pPr>
                          <w:r>
                            <w:rPr>
                              <w:rFonts w:ascii="Times New Roman" w:hAnsi="Times New Roman" w:cs="Times New Roman"/>
                              <w:sz w:val="21"/>
                              <w:szCs w:val="21"/>
                            </w:rPr>
                            <w:t xml:space="preserve">第 </w:t>
                          </w: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r>
                            <w:rPr>
                              <w:rFonts w:ascii="Times New Roman" w:hAnsi="Times New Roman" w:cs="Times New Roman"/>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1"/>
                      <w:jc w:val="center"/>
                      <w:rPr>
                        <w:rFonts w:ascii="Times New Roman" w:hAnsi="Times New Roman" w:cs="Times New Roman"/>
                        <w:sz w:val="21"/>
                        <w:szCs w:val="21"/>
                      </w:rPr>
                    </w:pPr>
                    <w:r>
                      <w:rPr>
                        <w:rFonts w:ascii="Times New Roman" w:hAnsi="Times New Roman" w:cs="Times New Roman"/>
                        <w:sz w:val="21"/>
                        <w:szCs w:val="21"/>
                      </w:rPr>
                      <w:t xml:space="preserve">第 </w:t>
                    </w: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r>
                      <w:rPr>
                        <w:rFonts w:ascii="Times New Roman" w:hAnsi="Times New Roman" w:cs="Times New Roman"/>
                        <w:sz w:val="21"/>
                        <w:szCs w:val="21"/>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rPr>
        <w:rFonts w:ascii="华文仿宋" w:hAnsi="华文仿宋" w:eastAsia="华文仿宋"/>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MzM2OTk0NmY3ODA3YjgyYjE2MTNiM2I2ZjM1ZGQifQ=="/>
    <w:docVar w:name="KSO_WPS_MARK_KEY" w:val="df4f276d-f4aa-49db-8322-93e61c913b43"/>
  </w:docVars>
  <w:rsids>
    <w:rsidRoot w:val="00105BA8"/>
    <w:rsid w:val="0000469F"/>
    <w:rsid w:val="000D08CC"/>
    <w:rsid w:val="000D668E"/>
    <w:rsid w:val="000D6C11"/>
    <w:rsid w:val="000D76A4"/>
    <w:rsid w:val="000E0CDD"/>
    <w:rsid w:val="0010024D"/>
    <w:rsid w:val="001045F0"/>
    <w:rsid w:val="00105BA8"/>
    <w:rsid w:val="001458AC"/>
    <w:rsid w:val="00145E99"/>
    <w:rsid w:val="0016008D"/>
    <w:rsid w:val="00163647"/>
    <w:rsid w:val="00171F35"/>
    <w:rsid w:val="00192D10"/>
    <w:rsid w:val="00196E47"/>
    <w:rsid w:val="001A27FF"/>
    <w:rsid w:val="001B7233"/>
    <w:rsid w:val="001C29D9"/>
    <w:rsid w:val="001D1AE4"/>
    <w:rsid w:val="001D51B9"/>
    <w:rsid w:val="001D5256"/>
    <w:rsid w:val="001D7CB0"/>
    <w:rsid w:val="001E0EE0"/>
    <w:rsid w:val="00237F6F"/>
    <w:rsid w:val="00244C81"/>
    <w:rsid w:val="002549A1"/>
    <w:rsid w:val="002744B5"/>
    <w:rsid w:val="00281592"/>
    <w:rsid w:val="00287B7C"/>
    <w:rsid w:val="002C0A69"/>
    <w:rsid w:val="002C6578"/>
    <w:rsid w:val="002F7868"/>
    <w:rsid w:val="00320880"/>
    <w:rsid w:val="00325F6A"/>
    <w:rsid w:val="00340623"/>
    <w:rsid w:val="003572C7"/>
    <w:rsid w:val="003733D3"/>
    <w:rsid w:val="0037722F"/>
    <w:rsid w:val="003A0A17"/>
    <w:rsid w:val="003C7E0F"/>
    <w:rsid w:val="003D11E8"/>
    <w:rsid w:val="003D16A2"/>
    <w:rsid w:val="003E65D4"/>
    <w:rsid w:val="004043FF"/>
    <w:rsid w:val="00405BDA"/>
    <w:rsid w:val="00412ECF"/>
    <w:rsid w:val="004152DB"/>
    <w:rsid w:val="00422BAE"/>
    <w:rsid w:val="00436C23"/>
    <w:rsid w:val="00475377"/>
    <w:rsid w:val="004971DF"/>
    <w:rsid w:val="004A095B"/>
    <w:rsid w:val="004B2C8E"/>
    <w:rsid w:val="004B7064"/>
    <w:rsid w:val="004D2DE8"/>
    <w:rsid w:val="004D467C"/>
    <w:rsid w:val="00521072"/>
    <w:rsid w:val="005223A3"/>
    <w:rsid w:val="00557959"/>
    <w:rsid w:val="0056457D"/>
    <w:rsid w:val="00597592"/>
    <w:rsid w:val="005F4D42"/>
    <w:rsid w:val="005F744A"/>
    <w:rsid w:val="00612C88"/>
    <w:rsid w:val="00645261"/>
    <w:rsid w:val="0066530F"/>
    <w:rsid w:val="00670EF4"/>
    <w:rsid w:val="00695E45"/>
    <w:rsid w:val="006A1D05"/>
    <w:rsid w:val="006A2D70"/>
    <w:rsid w:val="006C1ED9"/>
    <w:rsid w:val="006F7B0C"/>
    <w:rsid w:val="00703435"/>
    <w:rsid w:val="00711225"/>
    <w:rsid w:val="00731B69"/>
    <w:rsid w:val="00742E21"/>
    <w:rsid w:val="007520A2"/>
    <w:rsid w:val="0077148B"/>
    <w:rsid w:val="0079342D"/>
    <w:rsid w:val="007D4C14"/>
    <w:rsid w:val="007F249C"/>
    <w:rsid w:val="00802769"/>
    <w:rsid w:val="00802A3A"/>
    <w:rsid w:val="00835F80"/>
    <w:rsid w:val="008363D4"/>
    <w:rsid w:val="00837A9E"/>
    <w:rsid w:val="00840491"/>
    <w:rsid w:val="00842222"/>
    <w:rsid w:val="00880763"/>
    <w:rsid w:val="0088384A"/>
    <w:rsid w:val="00884A64"/>
    <w:rsid w:val="0089403F"/>
    <w:rsid w:val="008D159A"/>
    <w:rsid w:val="008F17DE"/>
    <w:rsid w:val="008F6976"/>
    <w:rsid w:val="00916DBA"/>
    <w:rsid w:val="00930D11"/>
    <w:rsid w:val="009458EF"/>
    <w:rsid w:val="00971CCD"/>
    <w:rsid w:val="009756B9"/>
    <w:rsid w:val="009859AA"/>
    <w:rsid w:val="00985FF7"/>
    <w:rsid w:val="00993258"/>
    <w:rsid w:val="009D1B3F"/>
    <w:rsid w:val="009D51E0"/>
    <w:rsid w:val="009E5347"/>
    <w:rsid w:val="009F2979"/>
    <w:rsid w:val="00A02B91"/>
    <w:rsid w:val="00A16A5A"/>
    <w:rsid w:val="00A1732E"/>
    <w:rsid w:val="00A34FC5"/>
    <w:rsid w:val="00A53FA3"/>
    <w:rsid w:val="00A550CF"/>
    <w:rsid w:val="00A63E81"/>
    <w:rsid w:val="00A7680B"/>
    <w:rsid w:val="00A90C99"/>
    <w:rsid w:val="00AA2959"/>
    <w:rsid w:val="00AA6EFB"/>
    <w:rsid w:val="00AE3EF1"/>
    <w:rsid w:val="00B04823"/>
    <w:rsid w:val="00B14518"/>
    <w:rsid w:val="00B35496"/>
    <w:rsid w:val="00B54C7D"/>
    <w:rsid w:val="00BD32B5"/>
    <w:rsid w:val="00C23CE4"/>
    <w:rsid w:val="00C334A9"/>
    <w:rsid w:val="00C54560"/>
    <w:rsid w:val="00C678BC"/>
    <w:rsid w:val="00C71D5A"/>
    <w:rsid w:val="00C81343"/>
    <w:rsid w:val="00C85B66"/>
    <w:rsid w:val="00CA2605"/>
    <w:rsid w:val="00CA7B30"/>
    <w:rsid w:val="00CB77BE"/>
    <w:rsid w:val="00CE4B60"/>
    <w:rsid w:val="00D17F35"/>
    <w:rsid w:val="00D35414"/>
    <w:rsid w:val="00D45B88"/>
    <w:rsid w:val="00D7433F"/>
    <w:rsid w:val="00D8157B"/>
    <w:rsid w:val="00D83B3B"/>
    <w:rsid w:val="00DC6BF3"/>
    <w:rsid w:val="00E1513F"/>
    <w:rsid w:val="00E24DD7"/>
    <w:rsid w:val="00E32CBF"/>
    <w:rsid w:val="00E42EE8"/>
    <w:rsid w:val="00E55872"/>
    <w:rsid w:val="00E71DB7"/>
    <w:rsid w:val="00E73AD2"/>
    <w:rsid w:val="00E910CA"/>
    <w:rsid w:val="00EA6BDF"/>
    <w:rsid w:val="00EB731F"/>
    <w:rsid w:val="00EC7124"/>
    <w:rsid w:val="00EF1C92"/>
    <w:rsid w:val="00F0749F"/>
    <w:rsid w:val="00F15794"/>
    <w:rsid w:val="00F27324"/>
    <w:rsid w:val="00F30E67"/>
    <w:rsid w:val="00F329E8"/>
    <w:rsid w:val="00F508FF"/>
    <w:rsid w:val="00F82496"/>
    <w:rsid w:val="00F83EE6"/>
    <w:rsid w:val="00F9258A"/>
    <w:rsid w:val="00FE2250"/>
    <w:rsid w:val="01145609"/>
    <w:rsid w:val="0117225E"/>
    <w:rsid w:val="016227A9"/>
    <w:rsid w:val="01762C10"/>
    <w:rsid w:val="0185766E"/>
    <w:rsid w:val="01862B23"/>
    <w:rsid w:val="019422A6"/>
    <w:rsid w:val="01964246"/>
    <w:rsid w:val="019E2198"/>
    <w:rsid w:val="01D24989"/>
    <w:rsid w:val="01FA65AD"/>
    <w:rsid w:val="020D0909"/>
    <w:rsid w:val="02806474"/>
    <w:rsid w:val="02816CCE"/>
    <w:rsid w:val="02974C97"/>
    <w:rsid w:val="02B04EBD"/>
    <w:rsid w:val="031762EC"/>
    <w:rsid w:val="031A4A2D"/>
    <w:rsid w:val="03657F4F"/>
    <w:rsid w:val="0374238F"/>
    <w:rsid w:val="037B5C3B"/>
    <w:rsid w:val="037E6D6A"/>
    <w:rsid w:val="03CF75C5"/>
    <w:rsid w:val="0412163E"/>
    <w:rsid w:val="045114CE"/>
    <w:rsid w:val="045C00C1"/>
    <w:rsid w:val="045D2E23"/>
    <w:rsid w:val="046B78CB"/>
    <w:rsid w:val="0475016D"/>
    <w:rsid w:val="047F2D99"/>
    <w:rsid w:val="04F0273D"/>
    <w:rsid w:val="04F3473A"/>
    <w:rsid w:val="05340028"/>
    <w:rsid w:val="054534DA"/>
    <w:rsid w:val="05942874"/>
    <w:rsid w:val="05A57FA1"/>
    <w:rsid w:val="05A607FA"/>
    <w:rsid w:val="05B1372E"/>
    <w:rsid w:val="05B63ADF"/>
    <w:rsid w:val="05C72C4A"/>
    <w:rsid w:val="05D45367"/>
    <w:rsid w:val="05D84E57"/>
    <w:rsid w:val="05DF0512"/>
    <w:rsid w:val="060A3F5E"/>
    <w:rsid w:val="063127B9"/>
    <w:rsid w:val="06A12244"/>
    <w:rsid w:val="06A73B6D"/>
    <w:rsid w:val="06B81AEA"/>
    <w:rsid w:val="06BB2083"/>
    <w:rsid w:val="06BF7DC5"/>
    <w:rsid w:val="06CA5935"/>
    <w:rsid w:val="06DD056E"/>
    <w:rsid w:val="06F74DCB"/>
    <w:rsid w:val="077C0455"/>
    <w:rsid w:val="077E1207"/>
    <w:rsid w:val="07A03D8C"/>
    <w:rsid w:val="07DB6D1A"/>
    <w:rsid w:val="08203C6B"/>
    <w:rsid w:val="0845254C"/>
    <w:rsid w:val="084E7BA0"/>
    <w:rsid w:val="089B1C6E"/>
    <w:rsid w:val="08A72CFC"/>
    <w:rsid w:val="08C23B9D"/>
    <w:rsid w:val="08D11B5D"/>
    <w:rsid w:val="08D61E31"/>
    <w:rsid w:val="08E47468"/>
    <w:rsid w:val="091A65C5"/>
    <w:rsid w:val="094C2DE1"/>
    <w:rsid w:val="098137D8"/>
    <w:rsid w:val="098E62EA"/>
    <w:rsid w:val="09A779E6"/>
    <w:rsid w:val="0A565FD8"/>
    <w:rsid w:val="0A5F1209"/>
    <w:rsid w:val="0A9B688B"/>
    <w:rsid w:val="0B09160F"/>
    <w:rsid w:val="0B233E5E"/>
    <w:rsid w:val="0B241321"/>
    <w:rsid w:val="0B3A0E7A"/>
    <w:rsid w:val="0B6B7431"/>
    <w:rsid w:val="0B7962BE"/>
    <w:rsid w:val="0B7B4FB1"/>
    <w:rsid w:val="0B9019F0"/>
    <w:rsid w:val="0BC51F38"/>
    <w:rsid w:val="0BE45432"/>
    <w:rsid w:val="0BF541EF"/>
    <w:rsid w:val="0C0A0C3E"/>
    <w:rsid w:val="0C28640C"/>
    <w:rsid w:val="0C5D4A6E"/>
    <w:rsid w:val="0C5F5E59"/>
    <w:rsid w:val="0C9615C8"/>
    <w:rsid w:val="0CBA266F"/>
    <w:rsid w:val="0CBA31C0"/>
    <w:rsid w:val="0CC46135"/>
    <w:rsid w:val="0CC71781"/>
    <w:rsid w:val="0D073416"/>
    <w:rsid w:val="0D4B4161"/>
    <w:rsid w:val="0D6618DB"/>
    <w:rsid w:val="0D7D66D2"/>
    <w:rsid w:val="0D805289"/>
    <w:rsid w:val="0D996F38"/>
    <w:rsid w:val="0DA675E9"/>
    <w:rsid w:val="0DCE355E"/>
    <w:rsid w:val="0DE06B82"/>
    <w:rsid w:val="0DE24106"/>
    <w:rsid w:val="0DEA1E65"/>
    <w:rsid w:val="0E252FF3"/>
    <w:rsid w:val="0E4017EB"/>
    <w:rsid w:val="0E5A4301"/>
    <w:rsid w:val="0E844479"/>
    <w:rsid w:val="0E972674"/>
    <w:rsid w:val="0F0860E9"/>
    <w:rsid w:val="0F802974"/>
    <w:rsid w:val="0F806638"/>
    <w:rsid w:val="0FB8598A"/>
    <w:rsid w:val="0FDD3B7B"/>
    <w:rsid w:val="10042CED"/>
    <w:rsid w:val="10080077"/>
    <w:rsid w:val="1025513D"/>
    <w:rsid w:val="10C31EC1"/>
    <w:rsid w:val="10DD5A17"/>
    <w:rsid w:val="10EC53D7"/>
    <w:rsid w:val="110A077F"/>
    <w:rsid w:val="1122342A"/>
    <w:rsid w:val="11513D10"/>
    <w:rsid w:val="11692E07"/>
    <w:rsid w:val="118C4D48"/>
    <w:rsid w:val="11AA515D"/>
    <w:rsid w:val="11DD37F5"/>
    <w:rsid w:val="122B3E64"/>
    <w:rsid w:val="12372385"/>
    <w:rsid w:val="123D7EA0"/>
    <w:rsid w:val="12850115"/>
    <w:rsid w:val="128956A3"/>
    <w:rsid w:val="12BB2799"/>
    <w:rsid w:val="12DD6110"/>
    <w:rsid w:val="1300779B"/>
    <w:rsid w:val="1319260B"/>
    <w:rsid w:val="139560F8"/>
    <w:rsid w:val="13B567D8"/>
    <w:rsid w:val="14535FF1"/>
    <w:rsid w:val="145D2C16"/>
    <w:rsid w:val="146D51DC"/>
    <w:rsid w:val="1484089E"/>
    <w:rsid w:val="148645E1"/>
    <w:rsid w:val="14A452E7"/>
    <w:rsid w:val="14C73D39"/>
    <w:rsid w:val="14FE5F5C"/>
    <w:rsid w:val="151B4B88"/>
    <w:rsid w:val="15431CF7"/>
    <w:rsid w:val="15833601"/>
    <w:rsid w:val="15C058FA"/>
    <w:rsid w:val="15CC6826"/>
    <w:rsid w:val="16151F0D"/>
    <w:rsid w:val="16442095"/>
    <w:rsid w:val="164C6937"/>
    <w:rsid w:val="167442A3"/>
    <w:rsid w:val="1674694D"/>
    <w:rsid w:val="1683496B"/>
    <w:rsid w:val="16F97D1D"/>
    <w:rsid w:val="17367264"/>
    <w:rsid w:val="173827BF"/>
    <w:rsid w:val="173947A8"/>
    <w:rsid w:val="173D5A3F"/>
    <w:rsid w:val="174C7884"/>
    <w:rsid w:val="17512598"/>
    <w:rsid w:val="176A7017"/>
    <w:rsid w:val="17837F9E"/>
    <w:rsid w:val="17877C80"/>
    <w:rsid w:val="18194E5B"/>
    <w:rsid w:val="181D5AF8"/>
    <w:rsid w:val="181F0DC7"/>
    <w:rsid w:val="18E30B32"/>
    <w:rsid w:val="18E84B6B"/>
    <w:rsid w:val="19030534"/>
    <w:rsid w:val="19762565"/>
    <w:rsid w:val="198848D8"/>
    <w:rsid w:val="198D4365"/>
    <w:rsid w:val="19CF1C75"/>
    <w:rsid w:val="1A1B1020"/>
    <w:rsid w:val="1A7671E9"/>
    <w:rsid w:val="1A864A2A"/>
    <w:rsid w:val="1AD1212C"/>
    <w:rsid w:val="1B0562BD"/>
    <w:rsid w:val="1B1D4C62"/>
    <w:rsid w:val="1B4D379A"/>
    <w:rsid w:val="1B83366B"/>
    <w:rsid w:val="1B8D003A"/>
    <w:rsid w:val="1B971E25"/>
    <w:rsid w:val="1BAC6693"/>
    <w:rsid w:val="1BC33A5C"/>
    <w:rsid w:val="1BCD0CAE"/>
    <w:rsid w:val="1BE206FA"/>
    <w:rsid w:val="1BEC7FA6"/>
    <w:rsid w:val="1C0239E4"/>
    <w:rsid w:val="1C145B72"/>
    <w:rsid w:val="1C235F62"/>
    <w:rsid w:val="1C447E6E"/>
    <w:rsid w:val="1C455ADE"/>
    <w:rsid w:val="1C4E5369"/>
    <w:rsid w:val="1C69015F"/>
    <w:rsid w:val="1C6E0A6E"/>
    <w:rsid w:val="1C964CCC"/>
    <w:rsid w:val="1C98646C"/>
    <w:rsid w:val="1D036806"/>
    <w:rsid w:val="1D0917E2"/>
    <w:rsid w:val="1D100F23"/>
    <w:rsid w:val="1D4A0F28"/>
    <w:rsid w:val="1D5C5B0B"/>
    <w:rsid w:val="1D5E443B"/>
    <w:rsid w:val="1D60766B"/>
    <w:rsid w:val="1D8D502B"/>
    <w:rsid w:val="1D9856EF"/>
    <w:rsid w:val="1DF8547B"/>
    <w:rsid w:val="1E1A3B08"/>
    <w:rsid w:val="1E295F9A"/>
    <w:rsid w:val="1E2A7DC2"/>
    <w:rsid w:val="1E4B1135"/>
    <w:rsid w:val="1E811A2F"/>
    <w:rsid w:val="1EB5581B"/>
    <w:rsid w:val="1F4E5B55"/>
    <w:rsid w:val="1F672950"/>
    <w:rsid w:val="1F680BA2"/>
    <w:rsid w:val="1F700FDF"/>
    <w:rsid w:val="1FAA740D"/>
    <w:rsid w:val="1FC0477E"/>
    <w:rsid w:val="1FE02E2E"/>
    <w:rsid w:val="1FF578E0"/>
    <w:rsid w:val="20030329"/>
    <w:rsid w:val="200D266C"/>
    <w:rsid w:val="20356ADB"/>
    <w:rsid w:val="20412A25"/>
    <w:rsid w:val="20754D83"/>
    <w:rsid w:val="20D84E87"/>
    <w:rsid w:val="210466A8"/>
    <w:rsid w:val="21247AE2"/>
    <w:rsid w:val="214651E2"/>
    <w:rsid w:val="214F6439"/>
    <w:rsid w:val="216D0941"/>
    <w:rsid w:val="216E00AB"/>
    <w:rsid w:val="2172505A"/>
    <w:rsid w:val="21CD2F3E"/>
    <w:rsid w:val="21DC5877"/>
    <w:rsid w:val="220775C0"/>
    <w:rsid w:val="22081361"/>
    <w:rsid w:val="2223115A"/>
    <w:rsid w:val="223643DF"/>
    <w:rsid w:val="22A25780"/>
    <w:rsid w:val="22D74B98"/>
    <w:rsid w:val="22DE3F67"/>
    <w:rsid w:val="23333275"/>
    <w:rsid w:val="233D40F4"/>
    <w:rsid w:val="234B506B"/>
    <w:rsid w:val="23711FEF"/>
    <w:rsid w:val="23766AD3"/>
    <w:rsid w:val="24245D19"/>
    <w:rsid w:val="24262DDA"/>
    <w:rsid w:val="248C5333"/>
    <w:rsid w:val="24C7456B"/>
    <w:rsid w:val="24E72569"/>
    <w:rsid w:val="24FD478C"/>
    <w:rsid w:val="252C232F"/>
    <w:rsid w:val="253432D4"/>
    <w:rsid w:val="2560231B"/>
    <w:rsid w:val="2579214D"/>
    <w:rsid w:val="258143F7"/>
    <w:rsid w:val="259B3353"/>
    <w:rsid w:val="25B37503"/>
    <w:rsid w:val="25BE6370"/>
    <w:rsid w:val="25DD5E89"/>
    <w:rsid w:val="262E2C07"/>
    <w:rsid w:val="263317DE"/>
    <w:rsid w:val="2635298F"/>
    <w:rsid w:val="265F0319"/>
    <w:rsid w:val="26600825"/>
    <w:rsid w:val="2665408D"/>
    <w:rsid w:val="26887D7C"/>
    <w:rsid w:val="269C2718"/>
    <w:rsid w:val="26D02EE1"/>
    <w:rsid w:val="26DA28E3"/>
    <w:rsid w:val="26DF2DF9"/>
    <w:rsid w:val="27677991"/>
    <w:rsid w:val="2780760C"/>
    <w:rsid w:val="27967567"/>
    <w:rsid w:val="27C22E19"/>
    <w:rsid w:val="27DE508C"/>
    <w:rsid w:val="27E94829"/>
    <w:rsid w:val="27ED2C8A"/>
    <w:rsid w:val="28065AFB"/>
    <w:rsid w:val="28090B70"/>
    <w:rsid w:val="2818244B"/>
    <w:rsid w:val="284650F2"/>
    <w:rsid w:val="284E0B51"/>
    <w:rsid w:val="285F0CF0"/>
    <w:rsid w:val="28A65964"/>
    <w:rsid w:val="28CD2D8F"/>
    <w:rsid w:val="28ED036A"/>
    <w:rsid w:val="290537FE"/>
    <w:rsid w:val="292A2C6B"/>
    <w:rsid w:val="296F6FD1"/>
    <w:rsid w:val="2973086F"/>
    <w:rsid w:val="29B45791"/>
    <w:rsid w:val="29BD2D5E"/>
    <w:rsid w:val="29C73709"/>
    <w:rsid w:val="2A5E4022"/>
    <w:rsid w:val="2A635327"/>
    <w:rsid w:val="2A647011"/>
    <w:rsid w:val="2A750617"/>
    <w:rsid w:val="2AA016B4"/>
    <w:rsid w:val="2AA607D0"/>
    <w:rsid w:val="2ADD0FB9"/>
    <w:rsid w:val="2B0A0D5F"/>
    <w:rsid w:val="2B253DEB"/>
    <w:rsid w:val="2B4A08BA"/>
    <w:rsid w:val="2B9C76A2"/>
    <w:rsid w:val="2BA03472"/>
    <w:rsid w:val="2BA74800"/>
    <w:rsid w:val="2BE21CDC"/>
    <w:rsid w:val="2BF33EE9"/>
    <w:rsid w:val="2C2E4F21"/>
    <w:rsid w:val="2C3B13EC"/>
    <w:rsid w:val="2C7F154B"/>
    <w:rsid w:val="2CAB6EF2"/>
    <w:rsid w:val="2CB12C92"/>
    <w:rsid w:val="2CD750AA"/>
    <w:rsid w:val="2CEA52EC"/>
    <w:rsid w:val="2CEB299B"/>
    <w:rsid w:val="2D0569BE"/>
    <w:rsid w:val="2D095047"/>
    <w:rsid w:val="2D132A98"/>
    <w:rsid w:val="2D6F134E"/>
    <w:rsid w:val="2DAF4D6E"/>
    <w:rsid w:val="2DCB7468"/>
    <w:rsid w:val="2DF23BA9"/>
    <w:rsid w:val="2E22054D"/>
    <w:rsid w:val="2E256A43"/>
    <w:rsid w:val="2E2C6BA8"/>
    <w:rsid w:val="2E627104"/>
    <w:rsid w:val="2F011256"/>
    <w:rsid w:val="2F0B48F3"/>
    <w:rsid w:val="2F484CB1"/>
    <w:rsid w:val="2F6D7B0F"/>
    <w:rsid w:val="2F994DA8"/>
    <w:rsid w:val="300C7F94"/>
    <w:rsid w:val="30183F1E"/>
    <w:rsid w:val="301B173C"/>
    <w:rsid w:val="301B756B"/>
    <w:rsid w:val="309E7B83"/>
    <w:rsid w:val="30CB5A1E"/>
    <w:rsid w:val="30EB0345"/>
    <w:rsid w:val="311821CF"/>
    <w:rsid w:val="3143321D"/>
    <w:rsid w:val="31433CBF"/>
    <w:rsid w:val="31DC0180"/>
    <w:rsid w:val="31E207C8"/>
    <w:rsid w:val="31F6464A"/>
    <w:rsid w:val="32010FF2"/>
    <w:rsid w:val="3250677A"/>
    <w:rsid w:val="32A45F3D"/>
    <w:rsid w:val="32A51B80"/>
    <w:rsid w:val="32CA1D1A"/>
    <w:rsid w:val="32CC0FF0"/>
    <w:rsid w:val="333F226C"/>
    <w:rsid w:val="3399180B"/>
    <w:rsid w:val="33BE1950"/>
    <w:rsid w:val="33DD51C6"/>
    <w:rsid w:val="34086670"/>
    <w:rsid w:val="34157C89"/>
    <w:rsid w:val="342E0DD1"/>
    <w:rsid w:val="343E152B"/>
    <w:rsid w:val="345C6037"/>
    <w:rsid w:val="34BE036F"/>
    <w:rsid w:val="34C41B45"/>
    <w:rsid w:val="34F62354"/>
    <w:rsid w:val="35171477"/>
    <w:rsid w:val="352E1AEE"/>
    <w:rsid w:val="35337105"/>
    <w:rsid w:val="35371219"/>
    <w:rsid w:val="3538471B"/>
    <w:rsid w:val="35550A91"/>
    <w:rsid w:val="355F439E"/>
    <w:rsid w:val="356E638F"/>
    <w:rsid w:val="3578720D"/>
    <w:rsid w:val="35843268"/>
    <w:rsid w:val="35C91CF6"/>
    <w:rsid w:val="35E126FD"/>
    <w:rsid w:val="360D07FC"/>
    <w:rsid w:val="3622778B"/>
    <w:rsid w:val="363B53DF"/>
    <w:rsid w:val="36490917"/>
    <w:rsid w:val="368F3810"/>
    <w:rsid w:val="36907857"/>
    <w:rsid w:val="36AF5123"/>
    <w:rsid w:val="36B87086"/>
    <w:rsid w:val="36E560FC"/>
    <w:rsid w:val="373639C5"/>
    <w:rsid w:val="373B04F2"/>
    <w:rsid w:val="378E4AC6"/>
    <w:rsid w:val="37C44DB3"/>
    <w:rsid w:val="37E64902"/>
    <w:rsid w:val="38027989"/>
    <w:rsid w:val="380525FA"/>
    <w:rsid w:val="38124142"/>
    <w:rsid w:val="38187281"/>
    <w:rsid w:val="382B6099"/>
    <w:rsid w:val="383202F5"/>
    <w:rsid w:val="384C097F"/>
    <w:rsid w:val="38635C7D"/>
    <w:rsid w:val="386C5E20"/>
    <w:rsid w:val="38726196"/>
    <w:rsid w:val="387652F6"/>
    <w:rsid w:val="38A9753D"/>
    <w:rsid w:val="38B341C2"/>
    <w:rsid w:val="38DB7645"/>
    <w:rsid w:val="390E0BE4"/>
    <w:rsid w:val="39186D3D"/>
    <w:rsid w:val="39627CFF"/>
    <w:rsid w:val="39BB7D0D"/>
    <w:rsid w:val="39CA57EE"/>
    <w:rsid w:val="39E27683"/>
    <w:rsid w:val="3A1526A6"/>
    <w:rsid w:val="3A194C31"/>
    <w:rsid w:val="3A1C07DD"/>
    <w:rsid w:val="3A3C7725"/>
    <w:rsid w:val="3A7726A4"/>
    <w:rsid w:val="3A7C4BBA"/>
    <w:rsid w:val="3B141642"/>
    <w:rsid w:val="3B251BE5"/>
    <w:rsid w:val="3B3A2AE5"/>
    <w:rsid w:val="3B9F72A2"/>
    <w:rsid w:val="3BA90120"/>
    <w:rsid w:val="3BB66332"/>
    <w:rsid w:val="3BC46D08"/>
    <w:rsid w:val="3C4407E8"/>
    <w:rsid w:val="3C703D0E"/>
    <w:rsid w:val="3CC91C33"/>
    <w:rsid w:val="3D161FAD"/>
    <w:rsid w:val="3D884F1E"/>
    <w:rsid w:val="3D961354"/>
    <w:rsid w:val="3D972D47"/>
    <w:rsid w:val="3DA91497"/>
    <w:rsid w:val="3DFB03D8"/>
    <w:rsid w:val="3E391FCF"/>
    <w:rsid w:val="3E436B44"/>
    <w:rsid w:val="3E6357BE"/>
    <w:rsid w:val="3E70582C"/>
    <w:rsid w:val="3E8A2015"/>
    <w:rsid w:val="3E8F146F"/>
    <w:rsid w:val="3E9F1815"/>
    <w:rsid w:val="3EA77148"/>
    <w:rsid w:val="3EB85378"/>
    <w:rsid w:val="3ECA0306"/>
    <w:rsid w:val="3F4133D7"/>
    <w:rsid w:val="3F4C39D9"/>
    <w:rsid w:val="3F6073B1"/>
    <w:rsid w:val="3F655437"/>
    <w:rsid w:val="3FA71E38"/>
    <w:rsid w:val="3FD958AF"/>
    <w:rsid w:val="3FF06D3B"/>
    <w:rsid w:val="40677416"/>
    <w:rsid w:val="406E4263"/>
    <w:rsid w:val="4071391F"/>
    <w:rsid w:val="407A208B"/>
    <w:rsid w:val="409B4365"/>
    <w:rsid w:val="409C64A6"/>
    <w:rsid w:val="40D043A1"/>
    <w:rsid w:val="40DC15A1"/>
    <w:rsid w:val="40FC622F"/>
    <w:rsid w:val="40FF07E3"/>
    <w:rsid w:val="410539E3"/>
    <w:rsid w:val="411A73CB"/>
    <w:rsid w:val="41272A2E"/>
    <w:rsid w:val="413C28E6"/>
    <w:rsid w:val="41546430"/>
    <w:rsid w:val="41713F84"/>
    <w:rsid w:val="41A526BD"/>
    <w:rsid w:val="41C73BA3"/>
    <w:rsid w:val="41D7769B"/>
    <w:rsid w:val="41EF130C"/>
    <w:rsid w:val="42250165"/>
    <w:rsid w:val="423E57C2"/>
    <w:rsid w:val="425D1C65"/>
    <w:rsid w:val="427B5D31"/>
    <w:rsid w:val="42847F65"/>
    <w:rsid w:val="42A11B51"/>
    <w:rsid w:val="42AF358B"/>
    <w:rsid w:val="42EE4A25"/>
    <w:rsid w:val="431E26BB"/>
    <w:rsid w:val="43393162"/>
    <w:rsid w:val="433E6C08"/>
    <w:rsid w:val="4347073B"/>
    <w:rsid w:val="43847A3E"/>
    <w:rsid w:val="43B55CF6"/>
    <w:rsid w:val="43CF0F74"/>
    <w:rsid w:val="43DA3792"/>
    <w:rsid w:val="43E56213"/>
    <w:rsid w:val="43F951EF"/>
    <w:rsid w:val="4443482A"/>
    <w:rsid w:val="444349CD"/>
    <w:rsid w:val="44577676"/>
    <w:rsid w:val="44A86CCA"/>
    <w:rsid w:val="44BA14A0"/>
    <w:rsid w:val="44CD4E80"/>
    <w:rsid w:val="45303661"/>
    <w:rsid w:val="45683288"/>
    <w:rsid w:val="45CC2BBA"/>
    <w:rsid w:val="45EA68D1"/>
    <w:rsid w:val="45F4643C"/>
    <w:rsid w:val="46082DF8"/>
    <w:rsid w:val="4610200B"/>
    <w:rsid w:val="4627577C"/>
    <w:rsid w:val="463169CF"/>
    <w:rsid w:val="46405B25"/>
    <w:rsid w:val="464F77E7"/>
    <w:rsid w:val="46694673"/>
    <w:rsid w:val="46712740"/>
    <w:rsid w:val="469F2B0B"/>
    <w:rsid w:val="47190850"/>
    <w:rsid w:val="471A1EA4"/>
    <w:rsid w:val="476129A2"/>
    <w:rsid w:val="4774202F"/>
    <w:rsid w:val="47AC511F"/>
    <w:rsid w:val="47AC6B4B"/>
    <w:rsid w:val="47C87B80"/>
    <w:rsid w:val="482B7039"/>
    <w:rsid w:val="4860600B"/>
    <w:rsid w:val="486C79FB"/>
    <w:rsid w:val="48896B80"/>
    <w:rsid w:val="489932CB"/>
    <w:rsid w:val="48D6451F"/>
    <w:rsid w:val="48E62AD4"/>
    <w:rsid w:val="48EB0948"/>
    <w:rsid w:val="48EC2269"/>
    <w:rsid w:val="48F232D1"/>
    <w:rsid w:val="490431AA"/>
    <w:rsid w:val="49190C76"/>
    <w:rsid w:val="49663650"/>
    <w:rsid w:val="498C59F8"/>
    <w:rsid w:val="498D72D3"/>
    <w:rsid w:val="49995C78"/>
    <w:rsid w:val="499D0BB0"/>
    <w:rsid w:val="49B81887"/>
    <w:rsid w:val="49C534BA"/>
    <w:rsid w:val="49CD76D0"/>
    <w:rsid w:val="49E2286F"/>
    <w:rsid w:val="4A3B0ADD"/>
    <w:rsid w:val="4A46425C"/>
    <w:rsid w:val="4A62606A"/>
    <w:rsid w:val="4A6C0C97"/>
    <w:rsid w:val="4A8F2006"/>
    <w:rsid w:val="4A981A8C"/>
    <w:rsid w:val="4B32384F"/>
    <w:rsid w:val="4B3E5154"/>
    <w:rsid w:val="4B8418FE"/>
    <w:rsid w:val="4BA10E14"/>
    <w:rsid w:val="4BA70097"/>
    <w:rsid w:val="4BA849DA"/>
    <w:rsid w:val="4BB21EA2"/>
    <w:rsid w:val="4BE621D2"/>
    <w:rsid w:val="4C4874E2"/>
    <w:rsid w:val="4C667293"/>
    <w:rsid w:val="4C6D0D12"/>
    <w:rsid w:val="4CB608EF"/>
    <w:rsid w:val="4CC4452E"/>
    <w:rsid w:val="4CCA687C"/>
    <w:rsid w:val="4CFD720C"/>
    <w:rsid w:val="4D0003BF"/>
    <w:rsid w:val="4D1C55FC"/>
    <w:rsid w:val="4D254AF9"/>
    <w:rsid w:val="4D5907C9"/>
    <w:rsid w:val="4D700A9E"/>
    <w:rsid w:val="4D7C2AF0"/>
    <w:rsid w:val="4D8225F0"/>
    <w:rsid w:val="4DF97636"/>
    <w:rsid w:val="4E1C29D5"/>
    <w:rsid w:val="4E7619E7"/>
    <w:rsid w:val="4E791313"/>
    <w:rsid w:val="4E9031C6"/>
    <w:rsid w:val="4EB26E94"/>
    <w:rsid w:val="4EB32BB1"/>
    <w:rsid w:val="4ED6571C"/>
    <w:rsid w:val="4EFC6825"/>
    <w:rsid w:val="4FAF73E7"/>
    <w:rsid w:val="4FEC00E0"/>
    <w:rsid w:val="50153434"/>
    <w:rsid w:val="504303F1"/>
    <w:rsid w:val="50460A22"/>
    <w:rsid w:val="505811DE"/>
    <w:rsid w:val="50B77EE4"/>
    <w:rsid w:val="51022355"/>
    <w:rsid w:val="51024103"/>
    <w:rsid w:val="51277B22"/>
    <w:rsid w:val="51383FC9"/>
    <w:rsid w:val="5178753C"/>
    <w:rsid w:val="51864D34"/>
    <w:rsid w:val="519A5DFF"/>
    <w:rsid w:val="52067C23"/>
    <w:rsid w:val="523E03B7"/>
    <w:rsid w:val="52541547"/>
    <w:rsid w:val="527347D9"/>
    <w:rsid w:val="5285323E"/>
    <w:rsid w:val="52FF3B12"/>
    <w:rsid w:val="531E182C"/>
    <w:rsid w:val="5373593A"/>
    <w:rsid w:val="537C08CB"/>
    <w:rsid w:val="53AA2830"/>
    <w:rsid w:val="53AB6CD4"/>
    <w:rsid w:val="53B46BCB"/>
    <w:rsid w:val="53E329CC"/>
    <w:rsid w:val="54294A0A"/>
    <w:rsid w:val="543D0DBC"/>
    <w:rsid w:val="546F41A7"/>
    <w:rsid w:val="547E1C94"/>
    <w:rsid w:val="5481186E"/>
    <w:rsid w:val="54E3424B"/>
    <w:rsid w:val="54F22D84"/>
    <w:rsid w:val="5522413C"/>
    <w:rsid w:val="552747DF"/>
    <w:rsid w:val="552D478E"/>
    <w:rsid w:val="552F56E3"/>
    <w:rsid w:val="555D2250"/>
    <w:rsid w:val="557650C0"/>
    <w:rsid w:val="55915A56"/>
    <w:rsid w:val="55C20404"/>
    <w:rsid w:val="55F127EE"/>
    <w:rsid w:val="55F5171B"/>
    <w:rsid w:val="56285D45"/>
    <w:rsid w:val="567161BD"/>
    <w:rsid w:val="56961C56"/>
    <w:rsid w:val="569E667C"/>
    <w:rsid w:val="56AD49F5"/>
    <w:rsid w:val="56BE0251"/>
    <w:rsid w:val="572739E2"/>
    <w:rsid w:val="572A6162"/>
    <w:rsid w:val="574210D7"/>
    <w:rsid w:val="577457D8"/>
    <w:rsid w:val="57832872"/>
    <w:rsid w:val="57974543"/>
    <w:rsid w:val="579D56BC"/>
    <w:rsid w:val="57DB2B89"/>
    <w:rsid w:val="57E16138"/>
    <w:rsid w:val="57EC1669"/>
    <w:rsid w:val="58206180"/>
    <w:rsid w:val="585F3BA2"/>
    <w:rsid w:val="588B0446"/>
    <w:rsid w:val="58BD6B62"/>
    <w:rsid w:val="58C75886"/>
    <w:rsid w:val="58C96438"/>
    <w:rsid w:val="58F9073F"/>
    <w:rsid w:val="58FC706B"/>
    <w:rsid w:val="592F4300"/>
    <w:rsid w:val="593A30EE"/>
    <w:rsid w:val="594C7EF4"/>
    <w:rsid w:val="598041E4"/>
    <w:rsid w:val="59CC3957"/>
    <w:rsid w:val="59E85E60"/>
    <w:rsid w:val="59F34F42"/>
    <w:rsid w:val="5A1C3CD6"/>
    <w:rsid w:val="5A1D4170"/>
    <w:rsid w:val="5A731BCE"/>
    <w:rsid w:val="5A752F6C"/>
    <w:rsid w:val="5A943270"/>
    <w:rsid w:val="5AC32E47"/>
    <w:rsid w:val="5AD9663A"/>
    <w:rsid w:val="5AEC45D6"/>
    <w:rsid w:val="5AF26DED"/>
    <w:rsid w:val="5B030895"/>
    <w:rsid w:val="5B25654A"/>
    <w:rsid w:val="5B60597F"/>
    <w:rsid w:val="5B7A07F6"/>
    <w:rsid w:val="5B9B13DC"/>
    <w:rsid w:val="5BA83421"/>
    <w:rsid w:val="5BC91C0E"/>
    <w:rsid w:val="5BDB6C3E"/>
    <w:rsid w:val="5BDB7A2A"/>
    <w:rsid w:val="5C00788F"/>
    <w:rsid w:val="5C27514A"/>
    <w:rsid w:val="5C3042CB"/>
    <w:rsid w:val="5C38462F"/>
    <w:rsid w:val="5C591882"/>
    <w:rsid w:val="5C734374"/>
    <w:rsid w:val="5C753598"/>
    <w:rsid w:val="5C75566D"/>
    <w:rsid w:val="5C78354D"/>
    <w:rsid w:val="5CBB0F9F"/>
    <w:rsid w:val="5CC67D9A"/>
    <w:rsid w:val="5CE045E7"/>
    <w:rsid w:val="5D08382E"/>
    <w:rsid w:val="5D6323CD"/>
    <w:rsid w:val="5D7F697E"/>
    <w:rsid w:val="5D900CE9"/>
    <w:rsid w:val="5D99004F"/>
    <w:rsid w:val="5DD744D0"/>
    <w:rsid w:val="5DE006C1"/>
    <w:rsid w:val="5DF15A4C"/>
    <w:rsid w:val="5DFC31B0"/>
    <w:rsid w:val="5E3E4FE1"/>
    <w:rsid w:val="5E6210AC"/>
    <w:rsid w:val="5E81532B"/>
    <w:rsid w:val="5E84479E"/>
    <w:rsid w:val="5F5244A8"/>
    <w:rsid w:val="5FEC48FC"/>
    <w:rsid w:val="5FF732A1"/>
    <w:rsid w:val="603B5BBB"/>
    <w:rsid w:val="60D63F64"/>
    <w:rsid w:val="60E313A4"/>
    <w:rsid w:val="60F8360A"/>
    <w:rsid w:val="611D6D37"/>
    <w:rsid w:val="612E4ED9"/>
    <w:rsid w:val="61730824"/>
    <w:rsid w:val="61806756"/>
    <w:rsid w:val="61826B9A"/>
    <w:rsid w:val="618F5835"/>
    <w:rsid w:val="61D1061E"/>
    <w:rsid w:val="61F564A8"/>
    <w:rsid w:val="621F0284"/>
    <w:rsid w:val="622855EF"/>
    <w:rsid w:val="624F2F20"/>
    <w:rsid w:val="62830E1C"/>
    <w:rsid w:val="628C5F22"/>
    <w:rsid w:val="629E7A04"/>
    <w:rsid w:val="62A9666D"/>
    <w:rsid w:val="62B4565F"/>
    <w:rsid w:val="62D0559F"/>
    <w:rsid w:val="62D912F9"/>
    <w:rsid w:val="62E76341"/>
    <w:rsid w:val="63436673"/>
    <w:rsid w:val="6346457F"/>
    <w:rsid w:val="63882695"/>
    <w:rsid w:val="63B76942"/>
    <w:rsid w:val="63D64995"/>
    <w:rsid w:val="63DA4C01"/>
    <w:rsid w:val="64007035"/>
    <w:rsid w:val="64062D4D"/>
    <w:rsid w:val="64085A7D"/>
    <w:rsid w:val="64300B2F"/>
    <w:rsid w:val="64581A03"/>
    <w:rsid w:val="645B58C2"/>
    <w:rsid w:val="646E05A8"/>
    <w:rsid w:val="647E12B9"/>
    <w:rsid w:val="647F1B3E"/>
    <w:rsid w:val="64855539"/>
    <w:rsid w:val="64982B6D"/>
    <w:rsid w:val="64AA4BC6"/>
    <w:rsid w:val="64AA68E3"/>
    <w:rsid w:val="64B33C3A"/>
    <w:rsid w:val="64C83E3F"/>
    <w:rsid w:val="64E42046"/>
    <w:rsid w:val="64EE365D"/>
    <w:rsid w:val="654B5927"/>
    <w:rsid w:val="659A0956"/>
    <w:rsid w:val="65AA1137"/>
    <w:rsid w:val="65BF4133"/>
    <w:rsid w:val="660404C6"/>
    <w:rsid w:val="662C0D33"/>
    <w:rsid w:val="663A5C95"/>
    <w:rsid w:val="665931A6"/>
    <w:rsid w:val="665E3C92"/>
    <w:rsid w:val="667962EB"/>
    <w:rsid w:val="66925AD1"/>
    <w:rsid w:val="66D5040A"/>
    <w:rsid w:val="670B7AEA"/>
    <w:rsid w:val="670D087B"/>
    <w:rsid w:val="67226EFC"/>
    <w:rsid w:val="672B65A0"/>
    <w:rsid w:val="673F5EBD"/>
    <w:rsid w:val="674A7CC8"/>
    <w:rsid w:val="674F441E"/>
    <w:rsid w:val="675C418F"/>
    <w:rsid w:val="676B07FC"/>
    <w:rsid w:val="679542C8"/>
    <w:rsid w:val="67AC2BC3"/>
    <w:rsid w:val="67BA708E"/>
    <w:rsid w:val="67D143D7"/>
    <w:rsid w:val="67DD16E6"/>
    <w:rsid w:val="67F56A2A"/>
    <w:rsid w:val="682F1FEC"/>
    <w:rsid w:val="689306AB"/>
    <w:rsid w:val="6894168D"/>
    <w:rsid w:val="68AF0C70"/>
    <w:rsid w:val="68B95597"/>
    <w:rsid w:val="68DE6DAC"/>
    <w:rsid w:val="68F24D1A"/>
    <w:rsid w:val="6948298A"/>
    <w:rsid w:val="695928D6"/>
    <w:rsid w:val="695E6AAC"/>
    <w:rsid w:val="696E2461"/>
    <w:rsid w:val="697C328F"/>
    <w:rsid w:val="6992439E"/>
    <w:rsid w:val="69E95A08"/>
    <w:rsid w:val="69FC569F"/>
    <w:rsid w:val="6A047FD5"/>
    <w:rsid w:val="6A5410DE"/>
    <w:rsid w:val="6A7136EF"/>
    <w:rsid w:val="6A764449"/>
    <w:rsid w:val="6A795CC5"/>
    <w:rsid w:val="6A941E18"/>
    <w:rsid w:val="6AAF599B"/>
    <w:rsid w:val="6AB26742"/>
    <w:rsid w:val="6AF05909"/>
    <w:rsid w:val="6B7C465A"/>
    <w:rsid w:val="6B822AC1"/>
    <w:rsid w:val="6BA51E03"/>
    <w:rsid w:val="6BC9742C"/>
    <w:rsid w:val="6C0A7EB8"/>
    <w:rsid w:val="6C6B4DFB"/>
    <w:rsid w:val="6C8E6D3B"/>
    <w:rsid w:val="6CD209D6"/>
    <w:rsid w:val="6D0C7C9A"/>
    <w:rsid w:val="6D463A9E"/>
    <w:rsid w:val="6D4E063C"/>
    <w:rsid w:val="6D616954"/>
    <w:rsid w:val="6D9C7C33"/>
    <w:rsid w:val="6DAB2F85"/>
    <w:rsid w:val="6DCF3167"/>
    <w:rsid w:val="6DED1C1B"/>
    <w:rsid w:val="6DEF183D"/>
    <w:rsid w:val="6DFD489E"/>
    <w:rsid w:val="6EF47329"/>
    <w:rsid w:val="6F052E4D"/>
    <w:rsid w:val="6F2E26DE"/>
    <w:rsid w:val="6F760EA8"/>
    <w:rsid w:val="6FAB1CDC"/>
    <w:rsid w:val="6FB17C02"/>
    <w:rsid w:val="6FB2470F"/>
    <w:rsid w:val="70090643"/>
    <w:rsid w:val="704141E0"/>
    <w:rsid w:val="705249E5"/>
    <w:rsid w:val="70657DB3"/>
    <w:rsid w:val="706933FF"/>
    <w:rsid w:val="70A1703D"/>
    <w:rsid w:val="70A22E6C"/>
    <w:rsid w:val="70A73F27"/>
    <w:rsid w:val="70EF61A9"/>
    <w:rsid w:val="71064644"/>
    <w:rsid w:val="713B2E63"/>
    <w:rsid w:val="717349E0"/>
    <w:rsid w:val="71A16075"/>
    <w:rsid w:val="71C759FB"/>
    <w:rsid w:val="71CA6E7A"/>
    <w:rsid w:val="71F71048"/>
    <w:rsid w:val="721107BE"/>
    <w:rsid w:val="7214443F"/>
    <w:rsid w:val="72165755"/>
    <w:rsid w:val="72192F52"/>
    <w:rsid w:val="72670308"/>
    <w:rsid w:val="7275252F"/>
    <w:rsid w:val="72757693"/>
    <w:rsid w:val="73385FE1"/>
    <w:rsid w:val="738911A2"/>
    <w:rsid w:val="73A429A0"/>
    <w:rsid w:val="73B07597"/>
    <w:rsid w:val="74237BDB"/>
    <w:rsid w:val="74357260"/>
    <w:rsid w:val="745269FE"/>
    <w:rsid w:val="74A0243F"/>
    <w:rsid w:val="74B83FD3"/>
    <w:rsid w:val="74BC6411"/>
    <w:rsid w:val="74CD4672"/>
    <w:rsid w:val="75327A38"/>
    <w:rsid w:val="753C190E"/>
    <w:rsid w:val="75491A51"/>
    <w:rsid w:val="755212F7"/>
    <w:rsid w:val="755405A0"/>
    <w:rsid w:val="757A3FB0"/>
    <w:rsid w:val="759E3ABC"/>
    <w:rsid w:val="75A901E3"/>
    <w:rsid w:val="75FD4FEC"/>
    <w:rsid w:val="763D3EB9"/>
    <w:rsid w:val="76616434"/>
    <w:rsid w:val="76A65038"/>
    <w:rsid w:val="76B13D52"/>
    <w:rsid w:val="76B64EC4"/>
    <w:rsid w:val="76D93BD3"/>
    <w:rsid w:val="76DB492B"/>
    <w:rsid w:val="76F26890"/>
    <w:rsid w:val="77127489"/>
    <w:rsid w:val="776D56BB"/>
    <w:rsid w:val="778D1F6A"/>
    <w:rsid w:val="77967EC6"/>
    <w:rsid w:val="77F1616C"/>
    <w:rsid w:val="782B389D"/>
    <w:rsid w:val="783A4C13"/>
    <w:rsid w:val="786734F7"/>
    <w:rsid w:val="789847C9"/>
    <w:rsid w:val="78AF4B03"/>
    <w:rsid w:val="78AF606F"/>
    <w:rsid w:val="78BD42B0"/>
    <w:rsid w:val="78BE5F5A"/>
    <w:rsid w:val="78D83818"/>
    <w:rsid w:val="78DC7B33"/>
    <w:rsid w:val="794C37FB"/>
    <w:rsid w:val="796E3F04"/>
    <w:rsid w:val="79713B2E"/>
    <w:rsid w:val="797A2EA9"/>
    <w:rsid w:val="79865022"/>
    <w:rsid w:val="799139C7"/>
    <w:rsid w:val="79951C9E"/>
    <w:rsid w:val="79AE0B42"/>
    <w:rsid w:val="79B00498"/>
    <w:rsid w:val="79F636C8"/>
    <w:rsid w:val="7A423D93"/>
    <w:rsid w:val="7A5C73F1"/>
    <w:rsid w:val="7A687671"/>
    <w:rsid w:val="7AA46371"/>
    <w:rsid w:val="7AA50854"/>
    <w:rsid w:val="7AB23BF5"/>
    <w:rsid w:val="7ABE18B3"/>
    <w:rsid w:val="7AF95548"/>
    <w:rsid w:val="7B6A5D5B"/>
    <w:rsid w:val="7B8726D4"/>
    <w:rsid w:val="7BCC3A34"/>
    <w:rsid w:val="7BED2F64"/>
    <w:rsid w:val="7BFE53B6"/>
    <w:rsid w:val="7C0B7A60"/>
    <w:rsid w:val="7C0D1A2A"/>
    <w:rsid w:val="7C1A5EF5"/>
    <w:rsid w:val="7C491CB6"/>
    <w:rsid w:val="7C6E1C09"/>
    <w:rsid w:val="7C81371A"/>
    <w:rsid w:val="7C9712F4"/>
    <w:rsid w:val="7D1F7212"/>
    <w:rsid w:val="7D2D6B0F"/>
    <w:rsid w:val="7D3A0B7E"/>
    <w:rsid w:val="7D441CBC"/>
    <w:rsid w:val="7D835077"/>
    <w:rsid w:val="7D977504"/>
    <w:rsid w:val="7DA0067C"/>
    <w:rsid w:val="7DD4729D"/>
    <w:rsid w:val="7DE17462"/>
    <w:rsid w:val="7DE642E1"/>
    <w:rsid w:val="7DF84738"/>
    <w:rsid w:val="7EBF1AAA"/>
    <w:rsid w:val="7EFE1CD8"/>
    <w:rsid w:val="7F3A644E"/>
    <w:rsid w:val="7F3B0CB6"/>
    <w:rsid w:val="7F403EC5"/>
    <w:rsid w:val="7F565D15"/>
    <w:rsid w:val="7F7B60A8"/>
    <w:rsid w:val="7F857B2A"/>
    <w:rsid w:val="7FAC3308"/>
    <w:rsid w:val="7FC874FF"/>
    <w:rsid w:val="7FED4A4C"/>
    <w:rsid w:val="7FEE582D"/>
    <w:rsid w:val="7FFB3D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仿宋" w:hAnsi="仿宋" w:eastAsia="仿宋" w:cstheme="minorBidi"/>
      <w:kern w:val="2"/>
      <w:sz w:val="24"/>
      <w:szCs w:val="22"/>
      <w:lang w:val="en-US" w:eastAsia="zh-CN" w:bidi="ar-SA"/>
    </w:rPr>
  </w:style>
  <w:style w:type="paragraph" w:styleId="4">
    <w:name w:val="heading 1"/>
    <w:basedOn w:val="1"/>
    <w:next w:val="1"/>
    <w:link w:val="26"/>
    <w:qFormat/>
    <w:uiPriority w:val="0"/>
    <w:pPr>
      <w:keepNext/>
      <w:keepLines/>
      <w:spacing w:before="340" w:after="340" w:line="480" w:lineRule="auto"/>
      <w:jc w:val="center"/>
      <w:outlineLvl w:val="0"/>
    </w:pPr>
    <w:rPr>
      <w:rFonts w:ascii="Calibri" w:hAnsi="Calibri" w:eastAsia="华文仿宋" w:cs="Times New Roman"/>
      <w:b/>
      <w:bCs/>
      <w:kern w:val="44"/>
      <w:sz w:val="44"/>
      <w:szCs w:val="44"/>
    </w:rPr>
  </w:style>
  <w:style w:type="paragraph" w:styleId="5">
    <w:name w:val="heading 2"/>
    <w:basedOn w:val="1"/>
    <w:next w:val="1"/>
    <w:link w:val="27"/>
    <w:unhideWhenUsed/>
    <w:qFormat/>
    <w:uiPriority w:val="9"/>
    <w:pPr>
      <w:keepNext/>
      <w:keepLines/>
      <w:spacing w:before="100" w:after="100" w:line="360" w:lineRule="auto"/>
      <w:outlineLvl w:val="1"/>
    </w:pPr>
    <w:rPr>
      <w:rFonts w:eastAsia="仿宋" w:asciiTheme="majorAscii" w:hAnsiTheme="majorAscii" w:cstheme="majorBidi"/>
      <w:b/>
      <w:bCs/>
      <w:sz w:val="28"/>
      <w:szCs w:val="32"/>
    </w:rPr>
  </w:style>
  <w:style w:type="paragraph" w:styleId="6">
    <w:name w:val="heading 3"/>
    <w:basedOn w:val="1"/>
    <w:next w:val="1"/>
    <w:link w:val="33"/>
    <w:qFormat/>
    <w:uiPriority w:val="0"/>
    <w:pPr>
      <w:keepNext/>
      <w:keepLines/>
      <w:spacing w:before="260" w:after="260" w:line="416" w:lineRule="auto"/>
      <w:outlineLvl w:val="2"/>
    </w:pPr>
    <w:rPr>
      <w:rFonts w:ascii="Calibri" w:hAnsi="Calibri" w:eastAsia="宋体" w:cs="Times New Roman"/>
      <w:b/>
      <w:bCs/>
      <w:sz w:val="32"/>
      <w:szCs w:val="32"/>
    </w:rPr>
  </w:style>
  <w:style w:type="character" w:default="1" w:styleId="19">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2">
    <w:name w:val="Body Text First Indent"/>
    <w:basedOn w:val="3"/>
    <w:link w:val="30"/>
    <w:unhideWhenUsed/>
    <w:qFormat/>
    <w:uiPriority w:val="99"/>
    <w:pPr>
      <w:ind w:firstLine="420" w:firstLineChars="100"/>
    </w:pPr>
    <w:rPr>
      <w:rFonts w:ascii="Calibri" w:hAnsi="Calibri" w:eastAsia="宋体" w:cs="Times New Roman"/>
    </w:rPr>
  </w:style>
  <w:style w:type="paragraph" w:styleId="3">
    <w:name w:val="Body Text"/>
    <w:basedOn w:val="1"/>
    <w:next w:val="1"/>
    <w:link w:val="29"/>
    <w:unhideWhenUsed/>
    <w:qFormat/>
    <w:uiPriority w:val="99"/>
    <w:pPr>
      <w:spacing w:after="120"/>
    </w:pPr>
  </w:style>
  <w:style w:type="paragraph" w:styleId="7">
    <w:name w:val="annotation text"/>
    <w:basedOn w:val="1"/>
    <w:unhideWhenUsed/>
    <w:qFormat/>
    <w:uiPriority w:val="99"/>
    <w:pPr>
      <w:jc w:val="left"/>
    </w:pPr>
  </w:style>
  <w:style w:type="paragraph" w:styleId="8">
    <w:name w:val="Body Text Indent"/>
    <w:basedOn w:val="1"/>
    <w:link w:val="35"/>
    <w:unhideWhenUsed/>
    <w:qFormat/>
    <w:uiPriority w:val="99"/>
    <w:pPr>
      <w:spacing w:after="120"/>
      <w:ind w:left="420" w:leftChars="200"/>
    </w:pPr>
  </w:style>
  <w:style w:type="paragraph" w:styleId="9">
    <w:name w:val="toc 3"/>
    <w:basedOn w:val="1"/>
    <w:next w:val="1"/>
    <w:unhideWhenUsed/>
    <w:qFormat/>
    <w:uiPriority w:val="39"/>
    <w:pPr>
      <w:ind w:left="840" w:leftChars="400"/>
    </w:pPr>
  </w:style>
  <w:style w:type="paragraph" w:styleId="10">
    <w:name w:val="Balloon Text"/>
    <w:basedOn w:val="1"/>
    <w:link w:val="28"/>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39"/>
    <w:pPr>
      <w:tabs>
        <w:tab w:val="right" w:leader="dot" w:pos="8296"/>
      </w:tabs>
      <w:spacing w:line="480" w:lineRule="auto"/>
      <w:ind w:left="420" w:leftChars="200"/>
    </w:pPr>
  </w:style>
  <w:style w:type="paragraph" w:styleId="15">
    <w:name w:val="Message Header"/>
    <w:basedOn w:val="1"/>
    <w:qFormat/>
    <w:uiPriority w:val="0"/>
    <w:pPr>
      <w:widowControl w:val="0"/>
      <w:pBdr>
        <w:top w:val="single" w:color="auto" w:sz="6" w:space="1"/>
        <w:left w:val="single" w:color="auto" w:sz="6" w:space="1"/>
        <w:bottom w:val="single" w:color="auto" w:sz="6" w:space="1"/>
        <w:right w:val="single" w:color="auto" w:sz="6" w:space="1"/>
      </w:pBdr>
      <w:shd w:val="pct20" w:color="auto" w:fill="auto"/>
      <w:spacing w:line="360" w:lineRule="auto"/>
      <w:ind w:left="1080" w:leftChars="500" w:hanging="1080" w:hangingChars="500"/>
      <w:jc w:val="left"/>
      <w:textAlignment w:val="auto"/>
    </w:pPr>
    <w:rPr>
      <w:rFonts w:ascii="Cambria" w:hAnsi="Cambria"/>
      <w:color w:val="auto"/>
      <w:kern w:val="2"/>
      <w:sz w:val="24"/>
      <w:szCs w:val="24"/>
      <w:u w:val="none" w:color="auto"/>
    </w:rPr>
  </w:style>
  <w:style w:type="paragraph" w:styleId="1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7">
    <w:name w:val="Body Text First Indent 2"/>
    <w:basedOn w:val="8"/>
    <w:next w:val="1"/>
    <w:link w:val="36"/>
    <w:unhideWhenUsed/>
    <w:qFormat/>
    <w:uiPriority w:val="99"/>
    <w:pPr>
      <w:ind w:firstLine="420" w:firstLineChars="200"/>
    </w:pPr>
  </w:style>
  <w:style w:type="character" w:styleId="20">
    <w:name w:val="Emphasis"/>
    <w:basedOn w:val="19"/>
    <w:qFormat/>
    <w:uiPriority w:val="20"/>
    <w:rPr>
      <w:i/>
    </w:rPr>
  </w:style>
  <w:style w:type="character" w:styleId="21">
    <w:name w:val="Hyperlink"/>
    <w:basedOn w:val="19"/>
    <w:unhideWhenUsed/>
    <w:qFormat/>
    <w:uiPriority w:val="99"/>
    <w:rPr>
      <w:color w:val="0000FF"/>
      <w:u w:val="single"/>
    </w:rPr>
  </w:style>
  <w:style w:type="character" w:customStyle="1" w:styleId="22">
    <w:name w:val="页眉 Char"/>
    <w:basedOn w:val="19"/>
    <w:link w:val="12"/>
    <w:qFormat/>
    <w:uiPriority w:val="99"/>
    <w:rPr>
      <w:sz w:val="18"/>
      <w:szCs w:val="18"/>
    </w:rPr>
  </w:style>
  <w:style w:type="character" w:customStyle="1" w:styleId="23">
    <w:name w:val="页脚 Char"/>
    <w:basedOn w:val="19"/>
    <w:link w:val="11"/>
    <w:qFormat/>
    <w:uiPriority w:val="99"/>
    <w:rPr>
      <w:sz w:val="18"/>
      <w:szCs w:val="18"/>
    </w:rPr>
  </w:style>
  <w:style w:type="character" w:customStyle="1" w:styleId="24">
    <w:name w:val="fontstyle01"/>
    <w:basedOn w:val="19"/>
    <w:qFormat/>
    <w:uiPriority w:val="0"/>
    <w:rPr>
      <w:rFonts w:hint="eastAsia" w:ascii="宋体" w:hAnsi="宋体" w:eastAsia="宋体"/>
      <w:color w:val="000000"/>
      <w:sz w:val="20"/>
      <w:szCs w:val="20"/>
    </w:rPr>
  </w:style>
  <w:style w:type="character" w:customStyle="1" w:styleId="25">
    <w:name w:val="标题 1 字符"/>
    <w:basedOn w:val="19"/>
    <w:qFormat/>
    <w:uiPriority w:val="9"/>
    <w:rPr>
      <w:b/>
      <w:bCs/>
      <w:kern w:val="44"/>
      <w:sz w:val="44"/>
      <w:szCs w:val="44"/>
    </w:rPr>
  </w:style>
  <w:style w:type="character" w:customStyle="1" w:styleId="26">
    <w:name w:val="标题 1 Char"/>
    <w:link w:val="4"/>
    <w:qFormat/>
    <w:uiPriority w:val="0"/>
    <w:rPr>
      <w:rFonts w:ascii="Calibri" w:hAnsi="Calibri" w:eastAsia="华文仿宋" w:cs="Times New Roman"/>
      <w:b/>
      <w:bCs/>
      <w:kern w:val="44"/>
      <w:sz w:val="44"/>
      <w:szCs w:val="44"/>
    </w:rPr>
  </w:style>
  <w:style w:type="character" w:customStyle="1" w:styleId="27">
    <w:name w:val="标题 2 Char"/>
    <w:basedOn w:val="19"/>
    <w:link w:val="5"/>
    <w:qFormat/>
    <w:uiPriority w:val="9"/>
    <w:rPr>
      <w:rFonts w:eastAsia="仿宋" w:asciiTheme="majorAscii" w:hAnsiTheme="majorAscii" w:cstheme="majorBidi"/>
      <w:b/>
      <w:bCs/>
      <w:sz w:val="28"/>
      <w:szCs w:val="32"/>
    </w:rPr>
  </w:style>
  <w:style w:type="character" w:customStyle="1" w:styleId="28">
    <w:name w:val="批注框文本 Char"/>
    <w:basedOn w:val="19"/>
    <w:link w:val="10"/>
    <w:semiHidden/>
    <w:qFormat/>
    <w:uiPriority w:val="99"/>
    <w:rPr>
      <w:sz w:val="18"/>
      <w:szCs w:val="18"/>
    </w:rPr>
  </w:style>
  <w:style w:type="character" w:customStyle="1" w:styleId="29">
    <w:name w:val="正文文本 Char"/>
    <w:basedOn w:val="19"/>
    <w:link w:val="3"/>
    <w:semiHidden/>
    <w:qFormat/>
    <w:uiPriority w:val="99"/>
  </w:style>
  <w:style w:type="character" w:customStyle="1" w:styleId="30">
    <w:name w:val="正文首行缩进 Char"/>
    <w:basedOn w:val="29"/>
    <w:link w:val="2"/>
    <w:qFormat/>
    <w:uiPriority w:val="99"/>
    <w:rPr>
      <w:rFonts w:ascii="Calibri" w:hAnsi="Calibri" w:eastAsia="宋体" w:cs="Times New Roman"/>
    </w:rPr>
  </w:style>
  <w:style w:type="character" w:customStyle="1" w:styleId="31">
    <w:name w:val="font61"/>
    <w:qFormat/>
    <w:uiPriority w:val="0"/>
    <w:rPr>
      <w:rFonts w:hint="eastAsia" w:ascii="仿宋" w:hAnsi="仿宋" w:eastAsia="仿宋" w:cs="仿宋"/>
      <w:color w:val="000000"/>
      <w:sz w:val="24"/>
      <w:szCs w:val="24"/>
      <w:u w:val="none"/>
    </w:rPr>
  </w:style>
  <w:style w:type="character" w:customStyle="1" w:styleId="32">
    <w:name w:val="标题 3 字符"/>
    <w:basedOn w:val="19"/>
    <w:semiHidden/>
    <w:qFormat/>
    <w:uiPriority w:val="9"/>
    <w:rPr>
      <w:b/>
      <w:bCs/>
      <w:sz w:val="32"/>
      <w:szCs w:val="32"/>
    </w:rPr>
  </w:style>
  <w:style w:type="character" w:customStyle="1" w:styleId="33">
    <w:name w:val="标题 3 Char"/>
    <w:link w:val="6"/>
    <w:qFormat/>
    <w:uiPriority w:val="0"/>
    <w:rPr>
      <w:rFonts w:ascii="Calibri" w:hAnsi="Calibri" w:eastAsia="宋体" w:cs="Times New Roman"/>
      <w:b/>
      <w:bCs/>
      <w:sz w:val="32"/>
      <w:szCs w:val="32"/>
    </w:rPr>
  </w:style>
  <w:style w:type="character" w:customStyle="1" w:styleId="34">
    <w:name w:val="font01"/>
    <w:qFormat/>
    <w:uiPriority w:val="0"/>
    <w:rPr>
      <w:rFonts w:hint="eastAsia" w:ascii="仿宋" w:hAnsi="仿宋" w:eastAsia="仿宋" w:cs="仿宋"/>
      <w:color w:val="000000"/>
      <w:sz w:val="24"/>
      <w:szCs w:val="24"/>
      <w:u w:val="none"/>
    </w:rPr>
  </w:style>
  <w:style w:type="character" w:customStyle="1" w:styleId="35">
    <w:name w:val="正文文本缩进 Char"/>
    <w:basedOn w:val="19"/>
    <w:link w:val="8"/>
    <w:semiHidden/>
    <w:qFormat/>
    <w:uiPriority w:val="99"/>
  </w:style>
  <w:style w:type="character" w:customStyle="1" w:styleId="36">
    <w:name w:val="正文首行缩进 2 Char"/>
    <w:basedOn w:val="35"/>
    <w:link w:val="17"/>
    <w:semiHidden/>
    <w:qFormat/>
    <w:uiPriority w:val="99"/>
  </w:style>
  <w:style w:type="character" w:customStyle="1" w:styleId="37">
    <w:name w:val="不明显强调1"/>
    <w:qFormat/>
    <w:uiPriority w:val="19"/>
    <w:rPr>
      <w:i/>
      <w:iCs/>
      <w:color w:val="7F7F7F"/>
    </w:rPr>
  </w:style>
  <w:style w:type="character" w:customStyle="1" w:styleId="38">
    <w:name w:val="fontstyle11"/>
    <w:basedOn w:val="19"/>
    <w:qFormat/>
    <w:uiPriority w:val="0"/>
    <w:rPr>
      <w:rFonts w:hint="default" w:ascii="E-BZ" w:hAnsi="E-BZ"/>
      <w:color w:val="000000"/>
      <w:sz w:val="16"/>
      <w:szCs w:val="16"/>
    </w:rPr>
  </w:style>
  <w:style w:type="paragraph" w:customStyle="1" w:styleId="39">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40">
    <w:name w:val="List Paragraph"/>
    <w:basedOn w:val="1"/>
    <w:qFormat/>
    <w:uiPriority w:val="34"/>
    <w:pPr>
      <w:ind w:firstLine="420" w:firstLineChars="200"/>
    </w:pPr>
  </w:style>
  <w:style w:type="character" w:customStyle="1" w:styleId="41">
    <w:name w:val="font31"/>
    <w:basedOn w:val="19"/>
    <w:qFormat/>
    <w:uiPriority w:val="0"/>
    <w:rPr>
      <w:rFonts w:ascii="仿宋" w:hAnsi="仿宋" w:eastAsia="仿宋" w:cs="仿宋"/>
      <w:b/>
      <w:color w:val="000000"/>
      <w:sz w:val="21"/>
      <w:szCs w:val="21"/>
      <w:u w:val="none"/>
    </w:rPr>
  </w:style>
  <w:style w:type="character" w:customStyle="1" w:styleId="42">
    <w:name w:val="font21"/>
    <w:basedOn w:val="19"/>
    <w:qFormat/>
    <w:uiPriority w:val="0"/>
    <w:rPr>
      <w:rFonts w:hint="default" w:ascii="Times New Roman" w:hAnsi="Times New Roman" w:cs="Times New Roman"/>
      <w:b/>
      <w:color w:val="000000"/>
      <w:sz w:val="21"/>
      <w:szCs w:val="21"/>
      <w:u w:val="none"/>
    </w:rPr>
  </w:style>
  <w:style w:type="character" w:customStyle="1" w:styleId="43">
    <w:name w:val="font11"/>
    <w:basedOn w:val="19"/>
    <w:qFormat/>
    <w:uiPriority w:val="0"/>
    <w:rPr>
      <w:rFonts w:hint="default" w:ascii="Arial" w:hAnsi="Arial" w:cs="Arial"/>
      <w:color w:val="FF0000"/>
      <w:sz w:val="20"/>
      <w:szCs w:val="20"/>
      <w:u w:val="none"/>
    </w:rPr>
  </w:style>
  <w:style w:type="character" w:customStyle="1" w:styleId="44">
    <w:name w:val="font51"/>
    <w:basedOn w:val="19"/>
    <w:qFormat/>
    <w:uiPriority w:val="0"/>
    <w:rPr>
      <w:rFonts w:ascii="Calibri" w:hAnsi="Calibri" w:cs="Calibri"/>
      <w:color w:val="000000"/>
      <w:sz w:val="20"/>
      <w:szCs w:val="20"/>
      <w:u w:val="none"/>
    </w:rPr>
  </w:style>
  <w:style w:type="character" w:customStyle="1" w:styleId="45">
    <w:name w:val="font41"/>
    <w:basedOn w:val="19"/>
    <w:qFormat/>
    <w:uiPriority w:val="0"/>
    <w:rPr>
      <w:rFonts w:hint="eastAsia" w:ascii="宋体" w:hAnsi="宋体" w:eastAsia="宋体" w:cs="宋体"/>
      <w:color w:val="000000"/>
      <w:sz w:val="24"/>
      <w:szCs w:val="24"/>
      <w:u w:val="none"/>
    </w:rPr>
  </w:style>
  <w:style w:type="paragraph" w:customStyle="1" w:styleId="46">
    <w:name w:val="WPSOffice手动目录 1"/>
    <w:qFormat/>
    <w:uiPriority w:val="0"/>
    <w:pPr>
      <w:ind w:leftChars="0"/>
    </w:pPr>
    <w:rPr>
      <w:rFonts w:ascii="Times New Roman" w:hAnsi="Times New Roman" w:eastAsia="宋体" w:cs="Times New Roman"/>
      <w:sz w:val="20"/>
      <w:szCs w:val="20"/>
    </w:rPr>
  </w:style>
  <w:style w:type="paragraph" w:customStyle="1" w:styleId="47">
    <w:name w:val="WPSOffice手动目录 2"/>
    <w:qFormat/>
    <w:uiPriority w:val="0"/>
    <w:pPr>
      <w:ind w:leftChars="200"/>
    </w:pPr>
    <w:rPr>
      <w:rFonts w:ascii="Times New Roman" w:hAnsi="Times New Roman" w:eastAsia="宋体" w:cs="Times New Roman"/>
      <w:sz w:val="20"/>
      <w:szCs w:val="20"/>
    </w:rPr>
  </w:style>
  <w:style w:type="character" w:customStyle="1" w:styleId="48">
    <w:name w:val="font91"/>
    <w:basedOn w:val="19"/>
    <w:qFormat/>
    <w:uiPriority w:val="0"/>
    <w:rPr>
      <w:rFonts w:hint="eastAsia" w:ascii="宋体" w:hAnsi="宋体" w:eastAsia="宋体" w:cs="宋体"/>
      <w:color w:val="000000"/>
      <w:sz w:val="20"/>
      <w:szCs w:val="20"/>
      <w:u w:val="none"/>
    </w:rPr>
  </w:style>
  <w:style w:type="character" w:customStyle="1" w:styleId="49">
    <w:name w:val="font112"/>
    <w:basedOn w:val="19"/>
    <w:qFormat/>
    <w:uiPriority w:val="0"/>
    <w:rPr>
      <w:rFonts w:hint="default" w:ascii="Times New Roman" w:hAnsi="Times New Roman" w:cs="Times New Roman"/>
      <w:color w:val="000000"/>
      <w:sz w:val="20"/>
      <w:szCs w:val="20"/>
      <w:u w:val="none"/>
    </w:rPr>
  </w:style>
  <w:style w:type="character" w:customStyle="1" w:styleId="50">
    <w:name w:val="font81"/>
    <w:basedOn w:val="19"/>
    <w:qFormat/>
    <w:uiPriority w:val="0"/>
    <w:rPr>
      <w:rFonts w:hint="eastAsia" w:ascii="宋体" w:hAnsi="宋体" w:eastAsia="宋体" w:cs="宋体"/>
      <w:color w:val="000000"/>
      <w:sz w:val="20"/>
      <w:szCs w:val="20"/>
      <w:u w:val="none"/>
    </w:rPr>
  </w:style>
  <w:style w:type="character" w:customStyle="1" w:styleId="51">
    <w:name w:val="font101"/>
    <w:basedOn w:val="1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hy\Desktop\&#20234;&#24029;&#21439;&#24066;&#22330;&#30417;&#30563;&#31649;&#29702;&#23616;-2405.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lhy\Desktop\&#20234;&#24029;&#21439;&#24066;&#22330;&#30417;&#30563;&#31649;&#29702;&#23616;-240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"食品大类抽检占比/%"</c:f>
              <c:strCache>
                <c:ptCount val="1"/>
                <c:pt idx="0">
                  <c:v>食品大类抽检占比/%</c:v>
                </c:pt>
              </c:strCache>
            </c:strRef>
          </c:tx>
          <c:spPr>
            <a:solidFill>
              <a:schemeClr val="accent1"/>
            </a:solidFill>
            <a:ln>
              <a:noFill/>
            </a:ln>
            <a:effectLst/>
          </c:spPr>
          <c:invertIfNegative val="0"/>
          <c:dLbls>
            <c:spPr>
              <a:noFill/>
              <a:ln>
                <a:noFill/>
              </a:ln>
              <a:effectLst/>
            </c:spPr>
            <c:txPr>
              <a:bodyPr rot="0" spcFirstLastPara="1" vertOverflow="clip" horzOverflow="clip" vert="eaVert" wrap="square" lIns="38100" tIns="19050" rIns="38100" bIns="19050" anchor="ctr" anchorCtr="1">
                <a:spAutoFit/>
              </a:bodyPr>
              <a:lstStyle/>
              <a:p>
                <a:pPr>
                  <a:defRPr lang="zh-CN" sz="800" b="0" i="0" u="none" strike="noStrike" kern="1200" baseline="0">
                    <a:solidFill>
                      <a:schemeClr val="tx1">
                        <a:lumMod val="50000"/>
                        <a:lumOff val="50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'[伊川县市场监督管理局-2405.xlsx]食品大类'!$A$2:$A$28</c:f>
              <c:strCache>
                <c:ptCount val="27"/>
                <c:pt idx="0" c:formatCode="@">
                  <c:v>食用农产品</c:v>
                </c:pt>
                <c:pt idx="1" c:formatCode="@">
                  <c:v>餐饮食品</c:v>
                </c:pt>
                <c:pt idx="2" c:formatCode="@">
                  <c:v>粮食加工品</c:v>
                </c:pt>
                <c:pt idx="3" c:formatCode="@">
                  <c:v>食用油、油脂及其制品</c:v>
                </c:pt>
                <c:pt idx="4" c:formatCode="@">
                  <c:v>乳制品</c:v>
                </c:pt>
                <c:pt idx="5" c:formatCode="@">
                  <c:v>饮料</c:v>
                </c:pt>
                <c:pt idx="6" c:formatCode="@">
                  <c:v>饼干</c:v>
                </c:pt>
                <c:pt idx="7" c:formatCode="@">
                  <c:v>糕点</c:v>
                </c:pt>
                <c:pt idx="8" c:formatCode="@">
                  <c:v>肉制品</c:v>
                </c:pt>
                <c:pt idx="9" c:formatCode="@">
                  <c:v>冷冻饮品</c:v>
                </c:pt>
                <c:pt idx="10" c:formatCode="@">
                  <c:v>糖果制品</c:v>
                </c:pt>
                <c:pt idx="11" c:formatCode="@">
                  <c:v>方便食品</c:v>
                </c:pt>
                <c:pt idx="12" c:formatCode="@">
                  <c:v>酒类</c:v>
                </c:pt>
                <c:pt idx="13" c:formatCode="@">
                  <c:v>蜂产品</c:v>
                </c:pt>
                <c:pt idx="14" c:formatCode="@">
                  <c:v>调味品</c:v>
                </c:pt>
                <c:pt idx="15" c:formatCode="@">
                  <c:v>水果制品</c:v>
                </c:pt>
                <c:pt idx="16" c:formatCode="@">
                  <c:v>茶叶及相关制品</c:v>
                </c:pt>
                <c:pt idx="17" c:formatCode="@">
                  <c:v>蛋制品</c:v>
                </c:pt>
                <c:pt idx="18" c:formatCode="@">
                  <c:v>淀粉及淀粉制品</c:v>
                </c:pt>
                <c:pt idx="19" c:formatCode="@">
                  <c:v>炒货食品及坚果制品</c:v>
                </c:pt>
                <c:pt idx="20" c:formatCode="@">
                  <c:v>速冻食品</c:v>
                </c:pt>
                <c:pt idx="21" c:formatCode="@">
                  <c:v>豆制品</c:v>
                </c:pt>
                <c:pt idx="22" c:formatCode="@">
                  <c:v>薯类和膨化食品</c:v>
                </c:pt>
                <c:pt idx="23" c:formatCode="@">
                  <c:v>蔬菜制品</c:v>
                </c:pt>
                <c:pt idx="24" c:formatCode="@">
                  <c:v>食糖</c:v>
                </c:pt>
                <c:pt idx="25" c:formatCode="@">
                  <c:v>罐头</c:v>
                </c:pt>
                <c:pt idx="26" c:formatCode="@">
                  <c:v>保健食品</c:v>
                </c:pt>
              </c:strCache>
            </c:strRef>
          </c:cat>
          <c:val>
            <c:numRef>
              <c:f>'[伊川县市场监督管理局-2405.xlsx]食品大类'!$D$2:$D$28</c:f>
              <c:numCache>
                <c:formatCode>0.00%</c:formatCode>
                <c:ptCount val="27"/>
                <c:pt idx="0">
                  <c:v>0.501039501039501</c:v>
                </c:pt>
                <c:pt idx="1">
                  <c:v>0.121829521829522</c:v>
                </c:pt>
                <c:pt idx="2">
                  <c:v>0.0540540540540541</c:v>
                </c:pt>
                <c:pt idx="3">
                  <c:v>0.0274428274428274</c:v>
                </c:pt>
                <c:pt idx="4">
                  <c:v>0.00873180873180873</c:v>
                </c:pt>
                <c:pt idx="5">
                  <c:v>0.0282744282744283</c:v>
                </c:pt>
                <c:pt idx="6">
                  <c:v>0.00498960498960499</c:v>
                </c:pt>
                <c:pt idx="7">
                  <c:v>0.0216216216216216</c:v>
                </c:pt>
                <c:pt idx="8">
                  <c:v>0.00706860706860707</c:v>
                </c:pt>
                <c:pt idx="9">
                  <c:v>0.000415800415800416</c:v>
                </c:pt>
                <c:pt idx="10">
                  <c:v>0.00748440748440748</c:v>
                </c:pt>
                <c:pt idx="11">
                  <c:v>0.0162162162162162</c:v>
                </c:pt>
                <c:pt idx="12">
                  <c:v>0.0137214137214137</c:v>
                </c:pt>
                <c:pt idx="13">
                  <c:v>0.00623700623700624</c:v>
                </c:pt>
                <c:pt idx="14">
                  <c:v>0.0814968814968815</c:v>
                </c:pt>
                <c:pt idx="15">
                  <c:v>0.00914760914760915</c:v>
                </c:pt>
                <c:pt idx="16">
                  <c:v>0.0120582120582121</c:v>
                </c:pt>
                <c:pt idx="17">
                  <c:v>0.00540540540540541</c:v>
                </c:pt>
                <c:pt idx="18">
                  <c:v>0.017047817047817</c:v>
                </c:pt>
                <c:pt idx="19">
                  <c:v>0.00457380457380457</c:v>
                </c:pt>
                <c:pt idx="20">
                  <c:v>0.00332640332640333</c:v>
                </c:pt>
                <c:pt idx="21">
                  <c:v>0.0178794178794179</c:v>
                </c:pt>
                <c:pt idx="22">
                  <c:v>0.00997920997920998</c:v>
                </c:pt>
                <c:pt idx="23">
                  <c:v>0.00706860706860707</c:v>
                </c:pt>
                <c:pt idx="24">
                  <c:v>0.0079002079002079</c:v>
                </c:pt>
                <c:pt idx="25">
                  <c:v>0.00415800415800416</c:v>
                </c:pt>
                <c:pt idx="26">
                  <c:v>0.000831600831600832</c:v>
                </c:pt>
              </c:numCache>
            </c:numRef>
          </c:val>
        </c:ser>
        <c:dLbls>
          <c:showLegendKey val="0"/>
          <c:showVal val="1"/>
          <c:showCatName val="0"/>
          <c:showSerName val="0"/>
          <c:showPercent val="0"/>
          <c:showBubbleSize val="0"/>
        </c:dLbls>
        <c:gapWidth val="75"/>
        <c:overlap val="0"/>
        <c:axId val="718693129"/>
        <c:axId val="359786054"/>
      </c:barChart>
      <c:catAx>
        <c:axId val="718693129"/>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0" spcFirstLastPara="0" vertOverflow="ellipsis" vert="eaVert" wrap="square" anchor="ctr" anchorCtr="1"/>
          <a:lstStyle/>
          <a:p>
            <a:pPr>
              <a:defRPr lang="zh-CN" sz="800" b="0" i="0" u="none" strike="noStrike" kern="1200" cap="all" spc="120" normalizeH="0" baseline="0">
                <a:solidFill>
                  <a:schemeClr val="tx1">
                    <a:lumMod val="65000"/>
                    <a:lumOff val="35000"/>
                  </a:schemeClr>
                </a:solidFill>
                <a:latin typeface="+mn-lt"/>
                <a:ea typeface="+mn-ea"/>
                <a:cs typeface="+mn-cs"/>
              </a:defRPr>
            </a:pPr>
          </a:p>
        </c:txPr>
        <c:crossAx val="359786054"/>
        <c:crosses val="autoZero"/>
        <c:auto val="1"/>
        <c:lblAlgn val="ctr"/>
        <c:lblOffset val="100"/>
        <c:noMultiLvlLbl val="0"/>
      </c:catAx>
      <c:valAx>
        <c:axId val="359786054"/>
        <c:scaling>
          <c:orientation val="minMax"/>
          <c:max val="1"/>
        </c:scaling>
        <c:delete val="0"/>
        <c:axPos val="l"/>
        <c:numFmt formatCode="0.00%"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8693129"/>
        <c:crosses val="autoZero"/>
        <c:crossBetween val="between"/>
      </c:valAx>
      <c:spPr>
        <a:noFill/>
        <a:ln>
          <a:noFill/>
        </a:ln>
        <a:effectLst/>
      </c:spPr>
    </c:plotArea>
    <c:legend>
      <c:legendPos val="b"/>
      <c:layout>
        <c:manualLayout>
          <c:xMode val="edge"/>
          <c:yMode val="edge"/>
          <c:x val="0.380521882062872"/>
          <c:y val="0.89365885630018"/>
          <c:w val="0.249640435586604"/>
          <c:h val="0.091922005571030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'[伊川县市场监督管理局-2405.xlsx]抽样环节'!$A$2:$A$4</c:f>
              <c:strCache>
                <c:ptCount val="3"/>
                <c:pt idx="0">
                  <c:v>餐饮环节</c:v>
                </c:pt>
                <c:pt idx="1">
                  <c:v>流通环节</c:v>
                </c:pt>
                <c:pt idx="2">
                  <c:v>生产环节</c:v>
                </c:pt>
              </c:strCache>
            </c:strRef>
          </c:cat>
          <c:val>
            <c:numRef>
              <c:f>'[伊川县市场监督管理局-2405.xlsx]抽样环节'!$D$2:$D$4</c:f>
              <c:numCache>
                <c:formatCode>0.00%</c:formatCode>
                <c:ptCount val="3"/>
                <c:pt idx="0">
                  <c:v>0.195426195426195</c:v>
                </c:pt>
                <c:pt idx="1">
                  <c:v>0.796673596673597</c:v>
                </c:pt>
                <c:pt idx="2">
                  <c:v>0.0079002079002079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50A43B-CABF-4D03-9D02-15E013DF475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11076</Words>
  <Characters>13045</Characters>
  <Lines>69</Lines>
  <Paragraphs>19</Paragraphs>
  <TotalTime>5</TotalTime>
  <ScaleCrop>false</ScaleCrop>
  <LinksUpToDate>false</LinksUpToDate>
  <CharactersWithSpaces>13200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2020-05-13T07:44:00Z</dcterms:created>
  <dc:creator>Jia</dc:creator>
  <cp:lastModifiedBy>国强盛世</cp:lastModifiedBy>
  <cp:lastPrinted>2021-09-20T00:55:00Z</cp:lastPrinted>
  <dcterms:modified xsi:type="dcterms:W3CDTF">2023-01-09T07:35:59Z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457550A27E0D4102BD57ABE779D3BB27</vt:lpwstr>
  </property>
</Properties>
</file>